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37C76">
      <w:pPr>
        <w:spacing w:line="360" w:lineRule="auto"/>
        <w:jc w:val="center"/>
        <w:outlineLvl w:val="0"/>
        <w:rPr>
          <w:b/>
          <w:sz w:val="36"/>
          <w:szCs w:val="36"/>
        </w:rPr>
      </w:pPr>
      <w:bookmarkStart w:id="0" w:name="_Toc99301424"/>
      <w:r>
        <w:rPr>
          <w:b/>
          <w:sz w:val="36"/>
          <w:szCs w:val="36"/>
        </w:rPr>
        <w:t>第五章   采购需求</w:t>
      </w:r>
      <w:bookmarkEnd w:id="0"/>
    </w:p>
    <w:p w14:paraId="7237C769">
      <w:pPr>
        <w:keepNext w:val="0"/>
        <w:keepLines w:val="0"/>
        <w:pageBreakBefore w:val="0"/>
        <w:widowControl w:val="0"/>
        <w:kinsoku/>
        <w:wordWrap/>
        <w:overflowPunct/>
        <w:topLinePunct w:val="0"/>
        <w:autoSpaceDE/>
        <w:autoSpaceDN/>
        <w:bidi w:val="0"/>
        <w:spacing w:line="360" w:lineRule="auto"/>
        <w:jc w:val="center"/>
        <w:outlineLvl w:val="0"/>
        <w:rPr>
          <w:b/>
          <w:sz w:val="21"/>
          <w:szCs w:val="21"/>
        </w:rPr>
      </w:pPr>
      <w:r>
        <w:rPr>
          <w:b/>
          <w:sz w:val="21"/>
          <w:szCs w:val="21"/>
        </w:rPr>
        <w:t>采购需求</w:t>
      </w:r>
    </w:p>
    <w:p w14:paraId="1A9C0875">
      <w:pPr>
        <w:keepNext w:val="0"/>
        <w:keepLines w:val="0"/>
        <w:pageBreakBefore w:val="0"/>
        <w:widowControl w:val="0"/>
        <w:kinsoku/>
        <w:wordWrap/>
        <w:overflowPunct/>
        <w:topLinePunct w:val="0"/>
        <w:autoSpaceDE/>
        <w:autoSpaceDN/>
        <w:bidi w:val="0"/>
        <w:spacing w:line="360" w:lineRule="auto"/>
        <w:jc w:val="left"/>
        <w:rPr>
          <w:rFonts w:ascii="宋体" w:hAnsi="宋体" w:cs="宋体"/>
          <w:b/>
          <w:sz w:val="28"/>
          <w:szCs w:val="28"/>
        </w:rPr>
      </w:pPr>
      <w:r>
        <w:rPr>
          <w:rFonts w:hint="eastAsia" w:ascii="宋体" w:hAnsi="宋体" w:cs="宋体"/>
          <w:b/>
          <w:sz w:val="28"/>
          <w:szCs w:val="28"/>
        </w:rPr>
        <w:t>一、采购标的</w:t>
      </w:r>
    </w:p>
    <w:p w14:paraId="56800D2E">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sz w:val="21"/>
          <w:szCs w:val="21"/>
        </w:rPr>
      </w:pPr>
      <w:r>
        <w:rPr>
          <w:rFonts w:hint="eastAsia" w:ascii="宋体" w:hAnsi="宋体" w:cs="宋体"/>
          <w:b/>
          <w:sz w:val="21"/>
          <w:szCs w:val="21"/>
        </w:rPr>
        <w:t>1</w:t>
      </w:r>
      <w:r>
        <w:rPr>
          <w:rFonts w:ascii="宋体" w:hAnsi="宋体" w:cs="宋体"/>
          <w:b/>
          <w:sz w:val="21"/>
          <w:szCs w:val="21"/>
        </w:rPr>
        <w:t>.</w:t>
      </w:r>
      <w:r>
        <w:rPr>
          <w:rFonts w:hint="eastAsia" w:ascii="宋体" w:hAnsi="宋体" w:cs="宋体"/>
          <w:b/>
          <w:sz w:val="21"/>
          <w:szCs w:val="21"/>
        </w:rPr>
        <w:t>采购标的</w:t>
      </w:r>
    </w:p>
    <w:tbl>
      <w:tblPr>
        <w:tblStyle w:val="3"/>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019"/>
        <w:gridCol w:w="1287"/>
        <w:gridCol w:w="1626"/>
        <w:gridCol w:w="1660"/>
      </w:tblGrid>
      <w:tr w14:paraId="09DCE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6BCF26C6">
            <w:pPr>
              <w:keepNext w:val="0"/>
              <w:keepLines w:val="0"/>
              <w:pageBreakBefore w:val="0"/>
              <w:widowControl w:val="0"/>
              <w:kinsoku/>
              <w:wordWrap/>
              <w:overflowPunct/>
              <w:topLinePunct w:val="0"/>
              <w:autoSpaceDE/>
              <w:autoSpaceDN/>
              <w:bidi w:val="0"/>
              <w:spacing w:line="360" w:lineRule="auto"/>
              <w:jc w:val="center"/>
              <w:rPr>
                <w:rFonts w:ascii="宋体" w:hAnsi="宋体" w:cs="宋体"/>
                <w:b/>
                <w:sz w:val="21"/>
                <w:szCs w:val="21"/>
              </w:rPr>
            </w:pPr>
            <w:r>
              <w:rPr>
                <w:rFonts w:hint="eastAsia" w:ascii="宋体" w:hAnsi="宋体" w:cs="宋体"/>
                <w:b/>
                <w:sz w:val="21"/>
                <w:szCs w:val="21"/>
              </w:rPr>
              <w:t>序号</w:t>
            </w:r>
          </w:p>
        </w:tc>
        <w:tc>
          <w:tcPr>
            <w:tcW w:w="3019" w:type="dxa"/>
            <w:noWrap w:val="0"/>
            <w:vAlign w:val="center"/>
          </w:tcPr>
          <w:p w14:paraId="1B3A22E5">
            <w:pPr>
              <w:keepNext w:val="0"/>
              <w:keepLines w:val="0"/>
              <w:pageBreakBefore w:val="0"/>
              <w:widowControl w:val="0"/>
              <w:kinsoku/>
              <w:wordWrap/>
              <w:overflowPunct/>
              <w:topLinePunct w:val="0"/>
              <w:autoSpaceDE/>
              <w:autoSpaceDN/>
              <w:bidi w:val="0"/>
              <w:spacing w:line="360" w:lineRule="auto"/>
              <w:jc w:val="center"/>
              <w:rPr>
                <w:rFonts w:ascii="宋体" w:hAnsi="宋体" w:cs="宋体"/>
                <w:b/>
                <w:sz w:val="21"/>
                <w:szCs w:val="21"/>
              </w:rPr>
            </w:pPr>
            <w:r>
              <w:rPr>
                <w:rFonts w:hint="eastAsia" w:ascii="宋体" w:hAnsi="宋体" w:cs="宋体"/>
                <w:b/>
                <w:sz w:val="21"/>
                <w:szCs w:val="21"/>
              </w:rPr>
              <w:t>货物或服务名称</w:t>
            </w:r>
          </w:p>
        </w:tc>
        <w:tc>
          <w:tcPr>
            <w:tcW w:w="1287" w:type="dxa"/>
            <w:noWrap w:val="0"/>
            <w:vAlign w:val="center"/>
          </w:tcPr>
          <w:p w14:paraId="1FA6D30B">
            <w:pPr>
              <w:keepNext w:val="0"/>
              <w:keepLines w:val="0"/>
              <w:pageBreakBefore w:val="0"/>
              <w:widowControl w:val="0"/>
              <w:kinsoku/>
              <w:wordWrap/>
              <w:overflowPunct/>
              <w:topLinePunct w:val="0"/>
              <w:autoSpaceDE/>
              <w:autoSpaceDN/>
              <w:bidi w:val="0"/>
              <w:spacing w:line="360" w:lineRule="auto"/>
              <w:jc w:val="center"/>
              <w:rPr>
                <w:rFonts w:ascii="宋体" w:hAnsi="宋体" w:cs="宋体"/>
                <w:b/>
                <w:sz w:val="21"/>
                <w:szCs w:val="21"/>
              </w:rPr>
            </w:pPr>
            <w:r>
              <w:rPr>
                <w:rFonts w:hint="eastAsia" w:ascii="宋体" w:hAnsi="宋体" w:cs="宋体"/>
                <w:b/>
                <w:sz w:val="21"/>
                <w:szCs w:val="21"/>
              </w:rPr>
              <w:t>数量</w:t>
            </w:r>
          </w:p>
        </w:tc>
        <w:tc>
          <w:tcPr>
            <w:tcW w:w="1626" w:type="dxa"/>
            <w:noWrap w:val="0"/>
            <w:vAlign w:val="center"/>
          </w:tcPr>
          <w:p w14:paraId="6EF82B5F">
            <w:pPr>
              <w:keepNext w:val="0"/>
              <w:keepLines w:val="0"/>
              <w:pageBreakBefore w:val="0"/>
              <w:widowControl w:val="0"/>
              <w:kinsoku/>
              <w:wordWrap/>
              <w:overflowPunct/>
              <w:topLinePunct w:val="0"/>
              <w:autoSpaceDE/>
              <w:autoSpaceDN/>
              <w:bidi w:val="0"/>
              <w:spacing w:line="360" w:lineRule="auto"/>
              <w:jc w:val="center"/>
              <w:rPr>
                <w:rFonts w:ascii="宋体" w:hAnsi="宋体" w:cs="宋体"/>
                <w:b/>
                <w:sz w:val="21"/>
                <w:szCs w:val="21"/>
              </w:rPr>
            </w:pPr>
            <w:r>
              <w:rPr>
                <w:rFonts w:hint="eastAsia" w:ascii="宋体" w:hAnsi="宋体" w:cs="宋体"/>
                <w:b/>
                <w:sz w:val="21"/>
                <w:szCs w:val="21"/>
              </w:rPr>
              <w:t>单位</w:t>
            </w:r>
          </w:p>
        </w:tc>
        <w:tc>
          <w:tcPr>
            <w:tcW w:w="1660" w:type="dxa"/>
            <w:noWrap w:val="0"/>
            <w:vAlign w:val="center"/>
          </w:tcPr>
          <w:p w14:paraId="662B071E">
            <w:pPr>
              <w:keepNext w:val="0"/>
              <w:keepLines w:val="0"/>
              <w:pageBreakBefore w:val="0"/>
              <w:widowControl w:val="0"/>
              <w:kinsoku/>
              <w:wordWrap/>
              <w:overflowPunct/>
              <w:topLinePunct w:val="0"/>
              <w:autoSpaceDE/>
              <w:autoSpaceDN/>
              <w:bidi w:val="0"/>
              <w:spacing w:line="360" w:lineRule="auto"/>
              <w:jc w:val="center"/>
              <w:rPr>
                <w:rFonts w:ascii="宋体" w:hAnsi="宋体" w:cs="宋体"/>
                <w:b/>
                <w:sz w:val="21"/>
                <w:szCs w:val="21"/>
              </w:rPr>
            </w:pPr>
            <w:r>
              <w:rPr>
                <w:rFonts w:hint="eastAsia" w:ascii="宋体" w:hAnsi="宋体" w:cs="宋体"/>
                <w:b/>
                <w:sz w:val="21"/>
                <w:szCs w:val="21"/>
              </w:rPr>
              <w:t>备注</w:t>
            </w:r>
          </w:p>
        </w:tc>
      </w:tr>
      <w:tr w14:paraId="649C1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7E44F862">
            <w:pPr>
              <w:keepNext w:val="0"/>
              <w:keepLines w:val="0"/>
              <w:pageBreakBefore w:val="0"/>
              <w:widowControl w:val="0"/>
              <w:kinsoku/>
              <w:wordWrap/>
              <w:overflowPunct/>
              <w:topLinePunct w:val="0"/>
              <w:autoSpaceDE/>
              <w:autoSpaceDN/>
              <w:bidi w:val="0"/>
              <w:spacing w:line="360" w:lineRule="auto"/>
              <w:jc w:val="center"/>
              <w:rPr>
                <w:rFonts w:ascii="宋体" w:hAnsi="宋体" w:cs="宋体"/>
                <w:sz w:val="21"/>
                <w:szCs w:val="21"/>
              </w:rPr>
            </w:pPr>
            <w:r>
              <w:rPr>
                <w:rFonts w:hint="eastAsia" w:ascii="宋体" w:hAnsi="宋体" w:cs="宋体"/>
                <w:sz w:val="21"/>
                <w:szCs w:val="21"/>
              </w:rPr>
              <w:t>1</w:t>
            </w:r>
          </w:p>
        </w:tc>
        <w:tc>
          <w:tcPr>
            <w:tcW w:w="3019" w:type="dxa"/>
            <w:noWrap w:val="0"/>
            <w:vAlign w:val="center"/>
          </w:tcPr>
          <w:p w14:paraId="6CEEED88">
            <w:pPr>
              <w:keepNext w:val="0"/>
              <w:keepLines w:val="0"/>
              <w:pageBreakBefore w:val="0"/>
              <w:widowControl w:val="0"/>
              <w:kinsoku/>
              <w:wordWrap/>
              <w:overflowPunct/>
              <w:topLinePunct w:val="0"/>
              <w:autoSpaceDE/>
              <w:autoSpaceDN/>
              <w:bidi w:val="0"/>
              <w:spacing w:line="360" w:lineRule="auto"/>
              <w:jc w:val="center"/>
              <w:rPr>
                <w:rFonts w:ascii="宋体" w:hAnsi="宋体" w:cs="宋体"/>
                <w:sz w:val="21"/>
                <w:szCs w:val="21"/>
              </w:rPr>
            </w:pPr>
            <w:r>
              <w:rPr>
                <w:rFonts w:hint="eastAsia"/>
                <w:sz w:val="21"/>
                <w:szCs w:val="21"/>
                <w:lang w:eastAsia="zh-CN"/>
              </w:rPr>
              <w:t>北京市</w:t>
            </w:r>
            <w:r>
              <w:rPr>
                <w:sz w:val="21"/>
                <w:szCs w:val="21"/>
              </w:rPr>
              <w:t>马家楼接济服务中心</w:t>
            </w:r>
            <w:r>
              <w:rPr>
                <w:rFonts w:hint="eastAsia"/>
                <w:sz w:val="21"/>
                <w:szCs w:val="21"/>
                <w:lang w:val="en-US" w:eastAsia="zh-CN"/>
              </w:rPr>
              <w:t>2026年物业管理服务采购</w:t>
            </w:r>
            <w:r>
              <w:rPr>
                <w:sz w:val="21"/>
                <w:szCs w:val="21"/>
              </w:rPr>
              <w:t>项目</w:t>
            </w:r>
          </w:p>
        </w:tc>
        <w:tc>
          <w:tcPr>
            <w:tcW w:w="1287" w:type="dxa"/>
            <w:noWrap w:val="0"/>
            <w:vAlign w:val="center"/>
          </w:tcPr>
          <w:p w14:paraId="799B76A3">
            <w:pPr>
              <w:keepNext w:val="0"/>
              <w:keepLines w:val="0"/>
              <w:pageBreakBefore w:val="0"/>
              <w:widowControl w:val="0"/>
              <w:kinsoku/>
              <w:wordWrap/>
              <w:overflowPunct/>
              <w:topLinePunct w:val="0"/>
              <w:autoSpaceDE/>
              <w:autoSpaceDN/>
              <w:bidi w:val="0"/>
              <w:spacing w:line="360" w:lineRule="auto"/>
              <w:jc w:val="center"/>
              <w:rPr>
                <w:rFonts w:ascii="宋体" w:hAnsi="宋体" w:cs="宋体"/>
                <w:sz w:val="21"/>
                <w:szCs w:val="21"/>
              </w:rPr>
            </w:pPr>
            <w:r>
              <w:rPr>
                <w:rFonts w:hint="eastAsia" w:ascii="宋体" w:hAnsi="宋体" w:cs="宋体"/>
                <w:sz w:val="21"/>
                <w:szCs w:val="21"/>
              </w:rPr>
              <w:t>1</w:t>
            </w:r>
          </w:p>
        </w:tc>
        <w:tc>
          <w:tcPr>
            <w:tcW w:w="1626" w:type="dxa"/>
            <w:noWrap w:val="0"/>
            <w:vAlign w:val="center"/>
          </w:tcPr>
          <w:p w14:paraId="4F062820">
            <w:pPr>
              <w:keepNext w:val="0"/>
              <w:keepLines w:val="0"/>
              <w:pageBreakBefore w:val="0"/>
              <w:widowControl w:val="0"/>
              <w:kinsoku/>
              <w:wordWrap/>
              <w:overflowPunct/>
              <w:topLinePunct w:val="0"/>
              <w:autoSpaceDE/>
              <w:autoSpaceDN/>
              <w:bidi w:val="0"/>
              <w:spacing w:line="360" w:lineRule="auto"/>
              <w:jc w:val="center"/>
              <w:rPr>
                <w:rFonts w:ascii="宋体" w:hAnsi="宋体" w:cs="宋体"/>
                <w:sz w:val="21"/>
                <w:szCs w:val="21"/>
              </w:rPr>
            </w:pPr>
            <w:r>
              <w:rPr>
                <w:rFonts w:hint="eastAsia" w:ascii="宋体" w:hAnsi="宋体" w:cs="宋体"/>
                <w:sz w:val="21"/>
                <w:szCs w:val="21"/>
              </w:rPr>
              <w:t>项</w:t>
            </w:r>
          </w:p>
        </w:tc>
        <w:tc>
          <w:tcPr>
            <w:tcW w:w="1660" w:type="dxa"/>
            <w:noWrap w:val="0"/>
            <w:vAlign w:val="center"/>
          </w:tcPr>
          <w:p w14:paraId="4ADCC09B">
            <w:pPr>
              <w:keepNext w:val="0"/>
              <w:keepLines w:val="0"/>
              <w:pageBreakBefore w:val="0"/>
              <w:widowControl w:val="0"/>
              <w:kinsoku/>
              <w:wordWrap/>
              <w:overflowPunct/>
              <w:topLinePunct w:val="0"/>
              <w:autoSpaceDE/>
              <w:autoSpaceDN/>
              <w:bidi w:val="0"/>
              <w:spacing w:line="360" w:lineRule="auto"/>
              <w:jc w:val="center"/>
              <w:rPr>
                <w:rFonts w:ascii="宋体" w:hAnsi="宋体" w:cs="宋体"/>
                <w:sz w:val="21"/>
                <w:szCs w:val="21"/>
              </w:rPr>
            </w:pPr>
          </w:p>
        </w:tc>
      </w:tr>
    </w:tbl>
    <w:p w14:paraId="7605EBF3">
      <w:pPr>
        <w:keepNext w:val="0"/>
        <w:keepLines w:val="0"/>
        <w:pageBreakBefore w:val="0"/>
        <w:widowControl w:val="0"/>
        <w:kinsoku/>
        <w:wordWrap/>
        <w:overflowPunct/>
        <w:topLinePunct w:val="0"/>
        <w:autoSpaceDE/>
        <w:autoSpaceDN/>
        <w:bidi w:val="0"/>
        <w:spacing w:line="360" w:lineRule="auto"/>
        <w:jc w:val="left"/>
        <w:rPr>
          <w:rFonts w:ascii="宋体" w:hAnsi="宋体" w:cs="宋体"/>
          <w:b/>
          <w:sz w:val="21"/>
          <w:szCs w:val="21"/>
        </w:rPr>
      </w:pPr>
      <w:r>
        <w:rPr>
          <w:rFonts w:hint="eastAsia" w:ascii="宋体" w:hAnsi="宋体" w:cs="宋体"/>
          <w:b/>
          <w:sz w:val="21"/>
          <w:szCs w:val="21"/>
        </w:rPr>
        <w:t>2</w:t>
      </w:r>
      <w:r>
        <w:rPr>
          <w:rFonts w:ascii="宋体" w:hAnsi="宋体" w:cs="宋体"/>
          <w:b/>
          <w:sz w:val="21"/>
          <w:szCs w:val="21"/>
        </w:rPr>
        <w:t>.</w:t>
      </w:r>
      <w:r>
        <w:rPr>
          <w:rFonts w:hint="eastAsia" w:ascii="宋体" w:hAnsi="宋体" w:cs="宋体"/>
          <w:b/>
          <w:sz w:val="21"/>
          <w:szCs w:val="21"/>
        </w:rPr>
        <w:t>项目背景概况</w:t>
      </w:r>
    </w:p>
    <w:p w14:paraId="1DD04829">
      <w:pPr>
        <w:keepNext w:val="0"/>
        <w:keepLines w:val="0"/>
        <w:pageBreakBefore w:val="0"/>
        <w:widowControl w:val="0"/>
        <w:kinsoku/>
        <w:wordWrap/>
        <w:overflowPunct/>
        <w:topLinePunct w:val="0"/>
        <w:autoSpaceDE/>
        <w:autoSpaceDN/>
        <w:bidi w:val="0"/>
        <w:spacing w:line="360" w:lineRule="auto"/>
        <w:ind w:firstLine="420"/>
        <w:jc w:val="left"/>
        <w:rPr>
          <w:rFonts w:hint="eastAsia" w:ascii="宋体" w:hAnsi="宋体" w:cs="宋体"/>
          <w:bCs/>
          <w:sz w:val="21"/>
          <w:szCs w:val="21"/>
          <w:lang w:val="en-US" w:eastAsia="zh-CN"/>
        </w:rPr>
      </w:pPr>
      <w:r>
        <w:rPr>
          <w:rFonts w:hint="eastAsia" w:ascii="宋体" w:hAnsi="宋体" w:cs="宋体"/>
          <w:bCs/>
          <w:sz w:val="21"/>
          <w:szCs w:val="21"/>
          <w:lang w:eastAsia="zh-CN"/>
        </w:rPr>
        <w:t>北京市</w:t>
      </w:r>
      <w:r>
        <w:rPr>
          <w:rFonts w:hint="eastAsia" w:ascii="宋体" w:hAnsi="宋体" w:cs="宋体"/>
          <w:bCs/>
          <w:sz w:val="21"/>
          <w:szCs w:val="21"/>
        </w:rPr>
        <w:t>马家楼接济服务中心</w:t>
      </w:r>
      <w:r>
        <w:rPr>
          <w:rFonts w:hint="eastAsia" w:ascii="宋体" w:hAnsi="宋体" w:cs="宋体"/>
          <w:bCs/>
          <w:sz w:val="21"/>
          <w:szCs w:val="21"/>
          <w:lang w:val="en-US" w:eastAsia="zh-CN"/>
        </w:rPr>
        <w:t>2026年物业管理服务采购</w:t>
      </w:r>
      <w:r>
        <w:rPr>
          <w:rFonts w:hint="eastAsia" w:ascii="宋体" w:hAnsi="宋体" w:cs="宋体"/>
          <w:bCs/>
          <w:sz w:val="21"/>
          <w:szCs w:val="21"/>
        </w:rPr>
        <w:t>项目</w:t>
      </w:r>
      <w:r>
        <w:rPr>
          <w:rFonts w:hint="eastAsia" w:ascii="宋体" w:hAnsi="宋体" w:cs="宋体"/>
          <w:bCs/>
          <w:sz w:val="21"/>
          <w:szCs w:val="21"/>
          <w:lang w:eastAsia="zh-CN"/>
        </w:rPr>
        <w:t>，位于</w:t>
      </w:r>
      <w:r>
        <w:rPr>
          <w:rFonts w:hint="eastAsia" w:ascii="宋体" w:hAnsi="宋体" w:cs="宋体"/>
          <w:bCs/>
          <w:sz w:val="21"/>
          <w:szCs w:val="21"/>
        </w:rPr>
        <w:t>北京市丰台区潘家庙北</w:t>
      </w:r>
      <w:r>
        <w:rPr>
          <w:rFonts w:hint="eastAsia" w:ascii="宋体" w:hAnsi="宋体" w:cs="宋体"/>
          <w:bCs/>
          <w:sz w:val="21"/>
          <w:szCs w:val="21"/>
          <w:lang w:eastAsia="zh-CN"/>
        </w:rPr>
        <w:t>路</w:t>
      </w:r>
      <w:r>
        <w:rPr>
          <w:rFonts w:hint="eastAsia" w:ascii="宋体" w:hAnsi="宋体" w:cs="宋体"/>
          <w:bCs/>
          <w:sz w:val="21"/>
          <w:szCs w:val="21"/>
        </w:rPr>
        <w:t>221号</w:t>
      </w:r>
      <w:r>
        <w:rPr>
          <w:rFonts w:hint="eastAsia" w:ascii="宋体" w:hAnsi="宋体" w:cs="宋体"/>
          <w:bCs/>
          <w:sz w:val="21"/>
          <w:szCs w:val="21"/>
          <w:lang w:eastAsia="zh-CN"/>
        </w:rPr>
        <w:t>，房屋</w:t>
      </w:r>
      <w:r>
        <w:rPr>
          <w:rFonts w:hint="eastAsia" w:ascii="宋体" w:hAnsi="宋体" w:cs="宋体"/>
          <w:bCs/>
          <w:sz w:val="21"/>
          <w:szCs w:val="21"/>
        </w:rPr>
        <w:t>建筑面积:</w:t>
      </w:r>
      <w:r>
        <w:rPr>
          <w:rFonts w:hint="eastAsia" w:ascii="宋体" w:hAnsi="宋体" w:cs="宋体"/>
          <w:bCs/>
          <w:sz w:val="21"/>
          <w:szCs w:val="21"/>
          <w:lang w:val="en-US" w:eastAsia="zh-CN"/>
        </w:rPr>
        <w:t>40405.86</w:t>
      </w:r>
      <w:r>
        <w:rPr>
          <w:rFonts w:hint="eastAsia" w:ascii="宋体" w:hAnsi="宋体" w:cs="宋体"/>
          <w:bCs/>
          <w:sz w:val="21"/>
          <w:szCs w:val="21"/>
        </w:rPr>
        <w:t>平方米</w:t>
      </w:r>
      <w:r>
        <w:rPr>
          <w:rFonts w:hint="eastAsia" w:ascii="宋体" w:hAnsi="宋体" w:cs="宋体"/>
          <w:bCs/>
          <w:sz w:val="21"/>
          <w:szCs w:val="21"/>
          <w:lang w:eastAsia="zh-CN"/>
        </w:rPr>
        <w:t>，</w:t>
      </w:r>
      <w:r>
        <w:rPr>
          <w:rFonts w:hint="default" w:ascii="宋体" w:hAnsi="宋体" w:cs="宋体"/>
          <w:bCs/>
          <w:sz w:val="21"/>
          <w:szCs w:val="21"/>
          <w:lang w:val="en-US" w:eastAsia="zh-CN"/>
        </w:rPr>
        <w:t>物业服务面积：</w:t>
      </w:r>
      <w:r>
        <w:rPr>
          <w:rFonts w:hint="eastAsia" w:ascii="宋体" w:hAnsi="宋体" w:cs="宋体"/>
          <w:bCs/>
          <w:sz w:val="21"/>
          <w:szCs w:val="21"/>
          <w:lang w:val="en-US" w:eastAsia="zh-CN"/>
        </w:rPr>
        <w:t>40405.86</w:t>
      </w:r>
      <w:r>
        <w:rPr>
          <w:rFonts w:hint="default" w:ascii="宋体" w:hAnsi="宋体" w:cs="宋体"/>
          <w:bCs/>
          <w:sz w:val="21"/>
          <w:szCs w:val="21"/>
          <w:lang w:val="en-US" w:eastAsia="zh-CN"/>
        </w:rPr>
        <w:t>平方米</w:t>
      </w:r>
      <w:r>
        <w:rPr>
          <w:rFonts w:hint="eastAsia" w:ascii="宋体" w:hAnsi="宋体" w:cs="宋体"/>
          <w:bCs/>
          <w:sz w:val="21"/>
          <w:szCs w:val="21"/>
          <w:lang w:val="en-US" w:eastAsia="zh-CN"/>
        </w:rPr>
        <w:t>。</w:t>
      </w:r>
    </w:p>
    <w:p w14:paraId="15170E2D">
      <w:pPr>
        <w:keepNext w:val="0"/>
        <w:keepLines w:val="0"/>
        <w:pageBreakBefore w:val="0"/>
        <w:widowControl w:val="0"/>
        <w:kinsoku/>
        <w:wordWrap/>
        <w:overflowPunct/>
        <w:topLinePunct w:val="0"/>
        <w:autoSpaceDE/>
        <w:autoSpaceDN/>
        <w:bidi w:val="0"/>
        <w:spacing w:line="360" w:lineRule="auto"/>
        <w:ind w:firstLine="420"/>
        <w:jc w:val="left"/>
        <w:rPr>
          <w:rFonts w:hint="eastAsia" w:ascii="宋体" w:hAnsi="宋体" w:cs="宋体"/>
          <w:bCs/>
          <w:sz w:val="21"/>
          <w:szCs w:val="21"/>
          <w:lang w:val="en-US" w:eastAsia="zh-CN"/>
        </w:rPr>
      </w:pPr>
      <w:r>
        <w:rPr>
          <w:rFonts w:hint="eastAsia" w:ascii="宋体" w:hAnsi="宋体" w:cs="宋体"/>
          <w:bCs/>
          <w:sz w:val="21"/>
          <w:szCs w:val="21"/>
          <w:lang w:val="en-US" w:eastAsia="zh-CN"/>
        </w:rPr>
        <w:t>服务内容包括：</w:t>
      </w:r>
    </w:p>
    <w:p w14:paraId="5635034F">
      <w:pPr>
        <w:keepNext w:val="0"/>
        <w:keepLines w:val="0"/>
        <w:pageBreakBefore w:val="0"/>
        <w:widowControl w:val="0"/>
        <w:kinsoku/>
        <w:wordWrap/>
        <w:overflowPunct/>
        <w:topLinePunct w:val="0"/>
        <w:autoSpaceDE/>
        <w:autoSpaceDN/>
        <w:bidi w:val="0"/>
        <w:spacing w:line="360" w:lineRule="auto"/>
        <w:ind w:firstLine="420"/>
        <w:jc w:val="left"/>
        <w:rPr>
          <w:rFonts w:hint="eastAsia" w:ascii="宋体" w:hAnsi="宋体" w:cs="宋体"/>
          <w:bCs/>
          <w:sz w:val="21"/>
          <w:szCs w:val="21"/>
          <w:lang w:eastAsia="zh-CN"/>
        </w:rPr>
      </w:pPr>
      <w:r>
        <w:rPr>
          <w:rFonts w:hint="eastAsia" w:ascii="宋体" w:hAnsi="宋体" w:cs="宋体"/>
          <w:bCs/>
          <w:sz w:val="21"/>
          <w:szCs w:val="21"/>
          <w:lang w:eastAsia="zh-CN"/>
        </w:rPr>
        <w:t>（1）项目管理服务。</w:t>
      </w:r>
    </w:p>
    <w:p w14:paraId="4847D06F">
      <w:pPr>
        <w:keepNext w:val="0"/>
        <w:keepLines w:val="0"/>
        <w:pageBreakBefore w:val="0"/>
        <w:widowControl w:val="0"/>
        <w:kinsoku/>
        <w:wordWrap/>
        <w:overflowPunct/>
        <w:topLinePunct w:val="0"/>
        <w:autoSpaceDE/>
        <w:autoSpaceDN/>
        <w:bidi w:val="0"/>
        <w:spacing w:line="360" w:lineRule="auto"/>
        <w:ind w:firstLine="420"/>
        <w:jc w:val="left"/>
        <w:rPr>
          <w:rFonts w:hint="eastAsia" w:ascii="宋体" w:hAnsi="宋体" w:cs="宋体"/>
          <w:bCs/>
          <w:sz w:val="21"/>
          <w:szCs w:val="21"/>
          <w:lang w:eastAsia="zh-CN"/>
        </w:rPr>
      </w:pPr>
      <w:r>
        <w:rPr>
          <w:rFonts w:hint="eastAsia" w:ascii="宋体" w:hAnsi="宋体" w:cs="宋体"/>
          <w:bCs/>
          <w:sz w:val="21"/>
          <w:szCs w:val="21"/>
          <w:lang w:eastAsia="zh-CN"/>
        </w:rPr>
        <w:t>（</w:t>
      </w:r>
      <w:r>
        <w:rPr>
          <w:rFonts w:hint="eastAsia" w:ascii="宋体" w:hAnsi="宋体" w:cs="宋体"/>
          <w:bCs/>
          <w:sz w:val="21"/>
          <w:szCs w:val="21"/>
          <w:lang w:val="en-US" w:eastAsia="zh-CN"/>
        </w:rPr>
        <w:t>2</w:t>
      </w:r>
      <w:r>
        <w:rPr>
          <w:rFonts w:hint="eastAsia" w:ascii="宋体" w:hAnsi="宋体" w:cs="宋体"/>
          <w:bCs/>
          <w:sz w:val="21"/>
          <w:szCs w:val="21"/>
          <w:lang w:eastAsia="zh-CN"/>
        </w:rPr>
        <w:t>）清洁服务。</w:t>
      </w:r>
    </w:p>
    <w:p w14:paraId="04E3404F">
      <w:pPr>
        <w:keepNext w:val="0"/>
        <w:keepLines w:val="0"/>
        <w:pageBreakBefore w:val="0"/>
        <w:widowControl w:val="0"/>
        <w:kinsoku/>
        <w:wordWrap/>
        <w:overflowPunct/>
        <w:topLinePunct w:val="0"/>
        <w:autoSpaceDE/>
        <w:autoSpaceDN/>
        <w:bidi w:val="0"/>
        <w:spacing w:line="360" w:lineRule="auto"/>
        <w:ind w:firstLine="420"/>
        <w:jc w:val="left"/>
        <w:rPr>
          <w:rFonts w:hint="eastAsia" w:ascii="宋体" w:hAnsi="宋体" w:cs="宋体"/>
          <w:bCs/>
          <w:sz w:val="21"/>
          <w:szCs w:val="21"/>
          <w:lang w:eastAsia="zh-CN"/>
        </w:rPr>
      </w:pPr>
      <w:r>
        <w:rPr>
          <w:rFonts w:hint="eastAsia" w:ascii="宋体" w:hAnsi="宋体" w:cs="宋体"/>
          <w:bCs/>
          <w:sz w:val="21"/>
          <w:szCs w:val="21"/>
          <w:lang w:eastAsia="zh-CN"/>
        </w:rPr>
        <w:t>（</w:t>
      </w:r>
      <w:r>
        <w:rPr>
          <w:rFonts w:hint="eastAsia" w:ascii="宋体" w:hAnsi="宋体" w:cs="宋体"/>
          <w:bCs/>
          <w:sz w:val="21"/>
          <w:szCs w:val="21"/>
          <w:lang w:val="en-US" w:eastAsia="zh-CN"/>
        </w:rPr>
        <w:t>3</w:t>
      </w:r>
      <w:r>
        <w:rPr>
          <w:rFonts w:hint="eastAsia" w:ascii="宋体" w:hAnsi="宋体" w:cs="宋体"/>
          <w:bCs/>
          <w:sz w:val="21"/>
          <w:szCs w:val="21"/>
          <w:lang w:eastAsia="zh-CN"/>
        </w:rPr>
        <w:t>）办公区域接待服务。</w:t>
      </w:r>
    </w:p>
    <w:p w14:paraId="651BF227">
      <w:pPr>
        <w:keepNext w:val="0"/>
        <w:keepLines w:val="0"/>
        <w:pageBreakBefore w:val="0"/>
        <w:widowControl w:val="0"/>
        <w:kinsoku/>
        <w:wordWrap/>
        <w:overflowPunct/>
        <w:topLinePunct w:val="0"/>
        <w:autoSpaceDE/>
        <w:autoSpaceDN/>
        <w:bidi w:val="0"/>
        <w:spacing w:line="360" w:lineRule="auto"/>
        <w:ind w:firstLine="420"/>
        <w:jc w:val="left"/>
        <w:rPr>
          <w:rFonts w:hint="eastAsia" w:ascii="宋体" w:hAnsi="宋体" w:cs="宋体"/>
          <w:bCs/>
          <w:sz w:val="21"/>
          <w:szCs w:val="21"/>
          <w:lang w:eastAsia="zh-CN"/>
        </w:rPr>
      </w:pPr>
      <w:r>
        <w:rPr>
          <w:rFonts w:hint="eastAsia" w:ascii="宋体" w:hAnsi="宋体" w:cs="宋体"/>
          <w:bCs/>
          <w:sz w:val="21"/>
          <w:szCs w:val="21"/>
          <w:lang w:eastAsia="zh-CN"/>
        </w:rPr>
        <w:t>（</w:t>
      </w:r>
      <w:r>
        <w:rPr>
          <w:rFonts w:hint="eastAsia" w:ascii="宋体" w:hAnsi="宋体" w:cs="宋体"/>
          <w:bCs/>
          <w:sz w:val="21"/>
          <w:szCs w:val="21"/>
          <w:lang w:val="en-US" w:eastAsia="zh-CN"/>
        </w:rPr>
        <w:t>4</w:t>
      </w:r>
      <w:r>
        <w:rPr>
          <w:rFonts w:hint="eastAsia" w:ascii="宋体" w:hAnsi="宋体" w:cs="宋体"/>
          <w:bCs/>
          <w:sz w:val="21"/>
          <w:szCs w:val="21"/>
          <w:lang w:eastAsia="zh-CN"/>
        </w:rPr>
        <w:t>）基础设备设施维修保养和微型消防站服务。</w:t>
      </w:r>
    </w:p>
    <w:p w14:paraId="4A45DE1A">
      <w:pPr>
        <w:keepNext w:val="0"/>
        <w:keepLines w:val="0"/>
        <w:pageBreakBefore w:val="0"/>
        <w:widowControl w:val="0"/>
        <w:kinsoku/>
        <w:wordWrap/>
        <w:overflowPunct/>
        <w:topLinePunct w:val="0"/>
        <w:autoSpaceDE/>
        <w:autoSpaceDN/>
        <w:bidi w:val="0"/>
        <w:spacing w:line="360" w:lineRule="auto"/>
        <w:ind w:firstLine="420"/>
        <w:jc w:val="left"/>
        <w:rPr>
          <w:rFonts w:hint="eastAsia" w:ascii="宋体" w:hAnsi="宋体" w:cs="宋体"/>
          <w:bCs/>
          <w:sz w:val="21"/>
          <w:szCs w:val="21"/>
          <w:lang w:eastAsia="zh-CN"/>
        </w:rPr>
      </w:pPr>
      <w:r>
        <w:rPr>
          <w:rFonts w:hint="eastAsia" w:ascii="宋体" w:hAnsi="宋体" w:cs="宋体"/>
          <w:bCs/>
          <w:sz w:val="21"/>
          <w:szCs w:val="21"/>
          <w:lang w:eastAsia="zh-CN"/>
        </w:rPr>
        <w:t>（</w:t>
      </w:r>
      <w:r>
        <w:rPr>
          <w:rFonts w:hint="eastAsia" w:ascii="宋体" w:hAnsi="宋体" w:cs="宋体"/>
          <w:bCs/>
          <w:sz w:val="21"/>
          <w:szCs w:val="21"/>
          <w:lang w:val="en-US" w:eastAsia="zh-CN"/>
        </w:rPr>
        <w:t>5</w:t>
      </w:r>
      <w:r>
        <w:rPr>
          <w:rFonts w:hint="eastAsia" w:ascii="宋体" w:hAnsi="宋体" w:cs="宋体"/>
          <w:bCs/>
          <w:sz w:val="21"/>
          <w:szCs w:val="21"/>
          <w:lang w:eastAsia="zh-CN"/>
        </w:rPr>
        <w:t>）高压配电室值守服务</w:t>
      </w:r>
    </w:p>
    <w:p w14:paraId="143CE5EF">
      <w:pPr>
        <w:keepNext w:val="0"/>
        <w:keepLines w:val="0"/>
        <w:pageBreakBefore w:val="0"/>
        <w:widowControl w:val="0"/>
        <w:kinsoku/>
        <w:wordWrap/>
        <w:overflowPunct/>
        <w:topLinePunct w:val="0"/>
        <w:autoSpaceDE/>
        <w:autoSpaceDN/>
        <w:bidi w:val="0"/>
        <w:spacing w:line="360" w:lineRule="auto"/>
        <w:ind w:firstLine="420"/>
        <w:jc w:val="left"/>
        <w:rPr>
          <w:rFonts w:hint="eastAsia" w:ascii="宋体" w:hAnsi="宋体" w:cs="宋体"/>
          <w:bCs/>
          <w:sz w:val="21"/>
          <w:szCs w:val="21"/>
          <w:lang w:eastAsia="zh-CN"/>
        </w:rPr>
      </w:pPr>
      <w:r>
        <w:rPr>
          <w:rFonts w:hint="eastAsia" w:ascii="宋体" w:hAnsi="宋体" w:cs="宋体"/>
          <w:bCs/>
          <w:sz w:val="21"/>
          <w:szCs w:val="21"/>
          <w:lang w:eastAsia="zh-CN"/>
        </w:rPr>
        <w:t>（</w:t>
      </w:r>
      <w:r>
        <w:rPr>
          <w:rFonts w:hint="eastAsia" w:ascii="宋体" w:hAnsi="宋体" w:cs="宋体"/>
          <w:bCs/>
          <w:sz w:val="21"/>
          <w:szCs w:val="21"/>
          <w:lang w:val="en-US" w:eastAsia="zh-CN"/>
        </w:rPr>
        <w:t>6</w:t>
      </w:r>
      <w:r>
        <w:rPr>
          <w:rFonts w:hint="eastAsia" w:ascii="宋体" w:hAnsi="宋体" w:cs="宋体"/>
          <w:bCs/>
          <w:sz w:val="21"/>
          <w:szCs w:val="21"/>
          <w:lang w:eastAsia="zh-CN"/>
        </w:rPr>
        <w:t>）信息通信网络终端维修服务</w:t>
      </w:r>
    </w:p>
    <w:p w14:paraId="4C36702C">
      <w:pPr>
        <w:keepNext w:val="0"/>
        <w:keepLines w:val="0"/>
        <w:pageBreakBefore w:val="0"/>
        <w:widowControl w:val="0"/>
        <w:kinsoku/>
        <w:wordWrap/>
        <w:overflowPunct/>
        <w:topLinePunct w:val="0"/>
        <w:autoSpaceDE/>
        <w:autoSpaceDN/>
        <w:bidi w:val="0"/>
        <w:spacing w:line="360" w:lineRule="auto"/>
        <w:ind w:firstLine="420"/>
        <w:jc w:val="left"/>
        <w:rPr>
          <w:rFonts w:hint="eastAsia" w:ascii="宋体" w:hAnsi="宋体" w:cs="宋体"/>
          <w:bCs/>
          <w:sz w:val="21"/>
          <w:szCs w:val="21"/>
          <w:lang w:eastAsia="zh-CN"/>
        </w:rPr>
      </w:pPr>
      <w:r>
        <w:rPr>
          <w:rFonts w:hint="eastAsia" w:ascii="宋体" w:hAnsi="宋体" w:cs="宋体"/>
          <w:bCs/>
          <w:sz w:val="21"/>
          <w:szCs w:val="21"/>
          <w:lang w:eastAsia="zh-CN"/>
        </w:rPr>
        <w:t>（</w:t>
      </w:r>
      <w:r>
        <w:rPr>
          <w:rFonts w:hint="eastAsia" w:ascii="宋体" w:hAnsi="宋体" w:cs="宋体"/>
          <w:bCs/>
          <w:sz w:val="21"/>
          <w:szCs w:val="21"/>
          <w:lang w:val="en-US" w:eastAsia="zh-CN"/>
        </w:rPr>
        <w:t>7</w:t>
      </w:r>
      <w:r>
        <w:rPr>
          <w:rFonts w:hint="eastAsia" w:ascii="宋体" w:hAnsi="宋体" w:cs="宋体"/>
          <w:bCs/>
          <w:sz w:val="21"/>
          <w:szCs w:val="21"/>
          <w:lang w:eastAsia="zh-CN"/>
        </w:rPr>
        <w:t>）年检项目（包括高压配电室绝缘工具检测、避雷检测、水质检测、灭火器检测、消电检、后厨燃气报警装置及机房压力表有限空间气体检测设备检测、电梯年检）</w:t>
      </w:r>
    </w:p>
    <w:p w14:paraId="4EDD473E">
      <w:pPr>
        <w:keepNext w:val="0"/>
        <w:keepLines w:val="0"/>
        <w:pageBreakBefore w:val="0"/>
        <w:widowControl w:val="0"/>
        <w:kinsoku/>
        <w:wordWrap/>
        <w:overflowPunct/>
        <w:topLinePunct w:val="0"/>
        <w:autoSpaceDE/>
        <w:autoSpaceDN/>
        <w:bidi w:val="0"/>
        <w:spacing w:line="360" w:lineRule="auto"/>
        <w:ind w:firstLine="420"/>
        <w:jc w:val="left"/>
        <w:rPr>
          <w:rFonts w:hint="eastAsia" w:ascii="宋体" w:hAnsi="宋体" w:cs="宋体"/>
          <w:bCs/>
          <w:sz w:val="21"/>
          <w:szCs w:val="21"/>
          <w:lang w:eastAsia="zh-CN"/>
        </w:rPr>
      </w:pPr>
      <w:r>
        <w:rPr>
          <w:rFonts w:hint="eastAsia" w:ascii="宋体" w:hAnsi="宋体" w:cs="宋体"/>
          <w:bCs/>
          <w:sz w:val="21"/>
          <w:szCs w:val="21"/>
          <w:lang w:eastAsia="zh-CN"/>
        </w:rPr>
        <w:t>（</w:t>
      </w:r>
      <w:r>
        <w:rPr>
          <w:rFonts w:hint="eastAsia" w:ascii="宋体" w:hAnsi="宋体" w:cs="宋体"/>
          <w:bCs/>
          <w:sz w:val="21"/>
          <w:szCs w:val="21"/>
          <w:lang w:val="en-US" w:eastAsia="zh-CN"/>
        </w:rPr>
        <w:t>8</w:t>
      </w:r>
      <w:r>
        <w:rPr>
          <w:rFonts w:hint="eastAsia" w:ascii="宋体" w:hAnsi="宋体" w:cs="宋体"/>
          <w:bCs/>
          <w:sz w:val="21"/>
          <w:szCs w:val="21"/>
          <w:lang w:eastAsia="zh-CN"/>
        </w:rPr>
        <w:t>）设备设施维护保养（包括电梯巡检维护保养、后厨维护保养及烟道清洗、分体空调和中央空调系统的运行维护保养、消防维保）</w:t>
      </w:r>
    </w:p>
    <w:p w14:paraId="43BD4957">
      <w:pPr>
        <w:keepNext w:val="0"/>
        <w:keepLines w:val="0"/>
        <w:pageBreakBefore w:val="0"/>
        <w:widowControl w:val="0"/>
        <w:kinsoku/>
        <w:wordWrap/>
        <w:overflowPunct/>
        <w:topLinePunct w:val="0"/>
        <w:autoSpaceDE/>
        <w:autoSpaceDN/>
        <w:bidi w:val="0"/>
        <w:spacing w:line="360" w:lineRule="auto"/>
        <w:ind w:firstLine="420"/>
        <w:jc w:val="left"/>
        <w:rPr>
          <w:rFonts w:hint="eastAsia" w:ascii="宋体" w:hAnsi="宋体" w:cs="宋体"/>
          <w:bCs/>
          <w:sz w:val="21"/>
          <w:szCs w:val="21"/>
          <w:lang w:eastAsia="zh-CN"/>
        </w:rPr>
      </w:pPr>
      <w:r>
        <w:rPr>
          <w:rFonts w:hint="eastAsia" w:ascii="宋体" w:hAnsi="宋体" w:cs="宋体"/>
          <w:bCs/>
          <w:sz w:val="21"/>
          <w:szCs w:val="21"/>
          <w:lang w:eastAsia="zh-CN"/>
        </w:rPr>
        <w:t>（</w:t>
      </w:r>
      <w:r>
        <w:rPr>
          <w:rFonts w:hint="eastAsia" w:ascii="宋体" w:hAnsi="宋体" w:cs="宋体"/>
          <w:bCs/>
          <w:sz w:val="21"/>
          <w:szCs w:val="21"/>
          <w:lang w:val="en-US" w:eastAsia="zh-CN"/>
        </w:rPr>
        <w:t>9</w:t>
      </w:r>
      <w:r>
        <w:rPr>
          <w:rFonts w:hint="eastAsia" w:ascii="宋体" w:hAnsi="宋体" w:cs="宋体"/>
          <w:bCs/>
          <w:sz w:val="21"/>
          <w:szCs w:val="21"/>
          <w:lang w:eastAsia="zh-CN"/>
        </w:rPr>
        <w:t>）其他服务内容（接待膳食系统软件维护、垃圾清运化粪池及隔油池清掏、有害生物防治、绿化养护）</w:t>
      </w:r>
    </w:p>
    <w:p w14:paraId="5EBA7325">
      <w:pPr>
        <w:keepNext w:val="0"/>
        <w:keepLines w:val="0"/>
        <w:pageBreakBefore w:val="0"/>
        <w:widowControl w:val="0"/>
        <w:kinsoku/>
        <w:wordWrap/>
        <w:overflowPunct/>
        <w:topLinePunct w:val="0"/>
        <w:autoSpaceDE/>
        <w:autoSpaceDN/>
        <w:bidi w:val="0"/>
        <w:spacing w:line="360" w:lineRule="auto"/>
        <w:ind w:firstLine="420"/>
        <w:jc w:val="left"/>
        <w:rPr>
          <w:rFonts w:hint="eastAsia" w:ascii="宋体" w:hAnsi="宋体" w:cs="宋体"/>
          <w:bCs/>
          <w:sz w:val="21"/>
          <w:szCs w:val="21"/>
          <w:lang w:eastAsia="zh-CN"/>
        </w:rPr>
      </w:pPr>
      <w:r>
        <w:rPr>
          <w:rFonts w:hint="eastAsia" w:ascii="宋体" w:hAnsi="宋体" w:cs="宋体"/>
          <w:bCs/>
          <w:sz w:val="21"/>
          <w:szCs w:val="21"/>
          <w:lang w:eastAsia="zh-CN"/>
        </w:rPr>
        <w:t>（</w:t>
      </w:r>
      <w:r>
        <w:rPr>
          <w:rFonts w:hint="eastAsia" w:ascii="宋体" w:hAnsi="宋体" w:cs="宋体"/>
          <w:bCs/>
          <w:sz w:val="21"/>
          <w:szCs w:val="21"/>
          <w:lang w:val="en-US" w:eastAsia="zh-CN"/>
        </w:rPr>
        <w:t>10</w:t>
      </w:r>
      <w:r>
        <w:rPr>
          <w:rFonts w:hint="eastAsia" w:ascii="宋体" w:hAnsi="宋体" w:cs="宋体"/>
          <w:bCs/>
          <w:sz w:val="21"/>
          <w:szCs w:val="21"/>
          <w:lang w:eastAsia="zh-CN"/>
        </w:rPr>
        <w:t>）机具（院内清扫车、楼内清洁机、除草机、升降梯等）、设备的自控系统的维修保养。</w:t>
      </w:r>
    </w:p>
    <w:p w14:paraId="7163D26F">
      <w:pPr>
        <w:keepNext w:val="0"/>
        <w:keepLines w:val="0"/>
        <w:pageBreakBefore w:val="0"/>
        <w:widowControl w:val="0"/>
        <w:kinsoku/>
        <w:wordWrap/>
        <w:overflowPunct/>
        <w:topLinePunct w:val="0"/>
        <w:autoSpaceDE/>
        <w:autoSpaceDN/>
        <w:bidi w:val="0"/>
        <w:spacing w:line="360" w:lineRule="auto"/>
        <w:ind w:firstLine="420"/>
        <w:jc w:val="left"/>
        <w:rPr>
          <w:rFonts w:hint="eastAsia" w:ascii="宋体" w:hAnsi="宋体" w:cs="宋体"/>
          <w:bCs/>
          <w:sz w:val="21"/>
          <w:szCs w:val="21"/>
          <w:lang w:eastAsia="zh-CN"/>
        </w:rPr>
      </w:pPr>
      <w:r>
        <w:rPr>
          <w:rFonts w:hint="eastAsia" w:ascii="宋体" w:hAnsi="宋体" w:cs="宋体"/>
          <w:bCs/>
          <w:sz w:val="21"/>
          <w:szCs w:val="21"/>
          <w:lang w:eastAsia="zh-CN"/>
        </w:rPr>
        <w:t>（</w:t>
      </w:r>
      <w:r>
        <w:rPr>
          <w:rFonts w:hint="eastAsia" w:ascii="宋体" w:hAnsi="宋体" w:cs="宋体"/>
          <w:bCs/>
          <w:sz w:val="21"/>
          <w:szCs w:val="21"/>
          <w:lang w:val="en-US" w:eastAsia="zh-CN"/>
        </w:rPr>
        <w:t>11</w:t>
      </w:r>
      <w:r>
        <w:rPr>
          <w:rFonts w:hint="eastAsia" w:ascii="宋体" w:hAnsi="宋体" w:cs="宋体"/>
          <w:bCs/>
          <w:sz w:val="21"/>
          <w:szCs w:val="21"/>
          <w:lang w:eastAsia="zh-CN"/>
        </w:rPr>
        <w:t>）应急工作及配合保卫科对院区进行巡视，范围包括日常公共区域设施、机房设备、院区及楼内环境卫生。</w:t>
      </w:r>
    </w:p>
    <w:p w14:paraId="440531E0">
      <w:pPr>
        <w:keepNext w:val="0"/>
        <w:keepLines w:val="0"/>
        <w:autoSpaceDE/>
        <w:autoSpaceDN/>
        <w:spacing w:line="360" w:lineRule="auto"/>
        <w:ind w:firstLine="420"/>
        <w:jc w:val="left"/>
        <w:rPr>
          <w:rFonts w:hint="eastAsia" w:ascii="宋体" w:hAnsi="宋体" w:cs="宋体"/>
          <w:bCs/>
          <w:szCs w:val="21"/>
          <w:lang w:eastAsia="zh-CN"/>
        </w:rPr>
      </w:pPr>
      <w:r>
        <w:rPr>
          <w:rFonts w:hint="eastAsia" w:ascii="宋体" w:hAnsi="宋体" w:cs="宋体"/>
          <w:bCs/>
          <w:sz w:val="21"/>
          <w:szCs w:val="21"/>
          <w:lang w:eastAsia="zh-CN"/>
        </w:rPr>
        <w:t>（</w:t>
      </w:r>
      <w:r>
        <w:rPr>
          <w:rFonts w:hint="eastAsia" w:ascii="宋体" w:hAnsi="宋体" w:cs="宋体"/>
          <w:bCs/>
          <w:sz w:val="21"/>
          <w:szCs w:val="21"/>
          <w:lang w:val="en-US" w:eastAsia="zh-CN"/>
        </w:rPr>
        <w:t>12</w:t>
      </w:r>
      <w:r>
        <w:rPr>
          <w:rFonts w:hint="eastAsia" w:ascii="宋体" w:hAnsi="宋体" w:cs="宋体"/>
          <w:bCs/>
          <w:sz w:val="21"/>
          <w:szCs w:val="21"/>
          <w:lang w:eastAsia="zh-CN"/>
        </w:rPr>
        <w:t>）</w:t>
      </w:r>
      <w:r>
        <w:rPr>
          <w:rFonts w:hint="eastAsia"/>
          <w:b w:val="0"/>
          <w:bCs w:val="0"/>
          <w:sz w:val="21"/>
          <w:szCs w:val="21"/>
          <w:lang w:val="en-US" w:eastAsia="zh-CN"/>
        </w:rPr>
        <w:t>协助采购人完成节约能源资源工作</w:t>
      </w:r>
      <w:r>
        <w:rPr>
          <w:rFonts w:hint="eastAsia" w:ascii="宋体" w:hAnsi="宋体" w:cs="宋体"/>
          <w:bCs/>
          <w:sz w:val="21"/>
          <w:szCs w:val="21"/>
          <w:lang w:eastAsia="zh-CN"/>
        </w:rPr>
        <w:t>。</w:t>
      </w:r>
    </w:p>
    <w:p w14:paraId="1AE6DEA8">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sz w:val="28"/>
          <w:szCs w:val="28"/>
        </w:rPr>
      </w:pPr>
      <w:r>
        <w:rPr>
          <w:rFonts w:hint="eastAsia" w:ascii="宋体" w:hAnsi="宋体" w:cs="宋体"/>
          <w:b/>
          <w:sz w:val="28"/>
          <w:szCs w:val="28"/>
        </w:rPr>
        <w:t>二、商务要求</w:t>
      </w:r>
    </w:p>
    <w:p w14:paraId="3A525B20">
      <w:pPr>
        <w:keepNext w:val="0"/>
        <w:keepLines w:val="0"/>
        <w:pageBreakBefore w:val="0"/>
        <w:widowControl w:val="0"/>
        <w:numPr>
          <w:ilvl w:val="0"/>
          <w:numId w:val="0"/>
        </w:numPr>
        <w:kinsoku/>
        <w:wordWrap/>
        <w:overflowPunct/>
        <w:topLinePunct w:val="0"/>
        <w:autoSpaceDE/>
        <w:autoSpaceDN/>
        <w:bidi w:val="0"/>
        <w:spacing w:line="360" w:lineRule="auto"/>
        <w:ind w:leftChars="0"/>
        <w:jc w:val="lef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服务</w:t>
      </w:r>
      <w:r>
        <w:rPr>
          <w:rFonts w:hint="eastAsia" w:ascii="宋体" w:hAnsi="宋体" w:eastAsia="宋体" w:cs="宋体"/>
          <w:sz w:val="21"/>
          <w:szCs w:val="21"/>
        </w:rPr>
        <w:t>期限：</w:t>
      </w:r>
      <w:r>
        <w:rPr>
          <w:rFonts w:hint="eastAsia" w:ascii="宋体" w:hAnsi="宋体" w:cs="宋体"/>
          <w:sz w:val="21"/>
          <w:szCs w:val="21"/>
        </w:rPr>
        <w:t>自</w:t>
      </w:r>
      <w:r>
        <w:rPr>
          <w:rFonts w:hint="eastAsia" w:ascii="宋体" w:hAnsi="宋体" w:cs="宋体"/>
          <w:sz w:val="21"/>
          <w:szCs w:val="21"/>
          <w:u w:val="single"/>
          <w:lang w:val="en-US" w:eastAsia="zh-CN"/>
        </w:rPr>
        <w:t>2026</w:t>
      </w:r>
      <w:r>
        <w:rPr>
          <w:rFonts w:hint="eastAsia" w:ascii="宋体" w:hAnsi="宋体" w:cs="宋体"/>
          <w:sz w:val="21"/>
          <w:szCs w:val="21"/>
        </w:rPr>
        <w:t>年</w:t>
      </w:r>
      <w:r>
        <w:rPr>
          <w:rFonts w:hint="eastAsia" w:ascii="宋体" w:hAnsi="宋体" w:cs="宋体"/>
          <w:sz w:val="21"/>
          <w:szCs w:val="21"/>
          <w:u w:val="single"/>
          <w:lang w:val="en-US" w:eastAsia="zh-CN"/>
        </w:rPr>
        <w:t>4</w:t>
      </w:r>
      <w:r>
        <w:rPr>
          <w:rFonts w:hint="eastAsia" w:ascii="宋体" w:hAnsi="宋体" w:cs="宋体"/>
          <w:sz w:val="21"/>
          <w:szCs w:val="21"/>
        </w:rPr>
        <w:t>月</w:t>
      </w:r>
      <w:r>
        <w:rPr>
          <w:rFonts w:hint="eastAsia" w:ascii="宋体" w:hAnsi="宋体" w:cs="宋体"/>
          <w:sz w:val="21"/>
          <w:szCs w:val="21"/>
          <w:u w:val="single"/>
          <w:lang w:val="en-US" w:eastAsia="zh-CN"/>
        </w:rPr>
        <w:t>16</w:t>
      </w:r>
      <w:r>
        <w:rPr>
          <w:rFonts w:hint="eastAsia" w:ascii="宋体" w:hAnsi="宋体" w:cs="宋体"/>
          <w:sz w:val="21"/>
          <w:szCs w:val="21"/>
        </w:rPr>
        <w:t>日起至</w:t>
      </w:r>
      <w:r>
        <w:rPr>
          <w:rFonts w:hint="eastAsia" w:ascii="宋体" w:hAnsi="宋体" w:cs="宋体"/>
          <w:sz w:val="21"/>
          <w:szCs w:val="21"/>
          <w:u w:val="single"/>
          <w:lang w:val="en-US" w:eastAsia="zh-CN"/>
        </w:rPr>
        <w:t>2026</w:t>
      </w:r>
      <w:r>
        <w:rPr>
          <w:rFonts w:hint="eastAsia" w:ascii="宋体" w:hAnsi="宋体" w:cs="宋体"/>
          <w:sz w:val="21"/>
          <w:szCs w:val="21"/>
        </w:rPr>
        <w:t>年</w:t>
      </w:r>
      <w:r>
        <w:rPr>
          <w:rFonts w:hint="eastAsia" w:ascii="宋体" w:hAnsi="宋体" w:cs="宋体"/>
          <w:sz w:val="21"/>
          <w:szCs w:val="21"/>
          <w:u w:val="single"/>
          <w:lang w:val="en-US" w:eastAsia="zh-CN"/>
        </w:rPr>
        <w:t>12</w:t>
      </w:r>
      <w:r>
        <w:rPr>
          <w:rFonts w:hint="eastAsia" w:ascii="宋体" w:hAnsi="宋体" w:cs="宋体"/>
          <w:sz w:val="21"/>
          <w:szCs w:val="21"/>
        </w:rPr>
        <w:t>月</w:t>
      </w:r>
      <w:r>
        <w:rPr>
          <w:rFonts w:hint="eastAsia" w:ascii="宋体" w:hAnsi="宋体" w:cs="宋体"/>
          <w:sz w:val="21"/>
          <w:szCs w:val="21"/>
          <w:u w:val="single"/>
          <w:lang w:val="en-US" w:eastAsia="zh-CN"/>
        </w:rPr>
        <w:t>31</w:t>
      </w:r>
      <w:r>
        <w:rPr>
          <w:rFonts w:hint="eastAsia" w:ascii="宋体" w:hAnsi="宋体" w:cs="宋体"/>
          <w:sz w:val="21"/>
          <w:szCs w:val="21"/>
        </w:rPr>
        <w:t>日止</w:t>
      </w:r>
      <w:r>
        <w:rPr>
          <w:rFonts w:hint="eastAsia" w:ascii="宋体" w:hAnsi="宋体" w:eastAsia="宋体" w:cs="宋体"/>
          <w:sz w:val="21"/>
          <w:szCs w:val="21"/>
        </w:rPr>
        <w:t>。</w:t>
      </w:r>
    </w:p>
    <w:p w14:paraId="73BEC8F8">
      <w:pPr>
        <w:keepNext w:val="0"/>
        <w:keepLines w:val="0"/>
        <w:pageBreakBefore w:val="0"/>
        <w:widowControl w:val="0"/>
        <w:numPr>
          <w:ilvl w:val="0"/>
          <w:numId w:val="0"/>
        </w:numPr>
        <w:kinsoku/>
        <w:wordWrap/>
        <w:overflowPunct/>
        <w:topLinePunct w:val="0"/>
        <w:autoSpaceDE/>
        <w:autoSpaceDN/>
        <w:bidi w:val="0"/>
        <w:spacing w:line="360" w:lineRule="auto"/>
        <w:ind w:leftChars="0"/>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服务地点：</w:t>
      </w:r>
      <w:r>
        <w:rPr>
          <w:rFonts w:hint="eastAsia" w:ascii="宋体" w:hAnsi="宋体" w:cs="宋体"/>
          <w:bCs/>
          <w:sz w:val="21"/>
          <w:szCs w:val="21"/>
        </w:rPr>
        <w:t>北京市丰台区潘家庙北</w:t>
      </w:r>
      <w:r>
        <w:rPr>
          <w:rFonts w:hint="eastAsia" w:ascii="宋体" w:hAnsi="宋体" w:cs="宋体"/>
          <w:bCs/>
          <w:sz w:val="21"/>
          <w:szCs w:val="21"/>
          <w:lang w:eastAsia="zh-CN"/>
        </w:rPr>
        <w:t>路</w:t>
      </w:r>
      <w:r>
        <w:rPr>
          <w:rFonts w:hint="eastAsia" w:ascii="宋体" w:hAnsi="宋体" w:cs="宋体"/>
          <w:bCs/>
          <w:sz w:val="21"/>
          <w:szCs w:val="21"/>
        </w:rPr>
        <w:t>221号</w:t>
      </w:r>
      <w:r>
        <w:rPr>
          <w:rFonts w:hint="eastAsia" w:ascii="宋体" w:hAnsi="宋体" w:cs="宋体"/>
          <w:bCs/>
          <w:sz w:val="21"/>
          <w:szCs w:val="21"/>
          <w:lang w:eastAsia="zh-CN"/>
        </w:rPr>
        <w:t>。</w:t>
      </w:r>
    </w:p>
    <w:p w14:paraId="6D53C59C">
      <w:pPr>
        <w:keepNext w:val="0"/>
        <w:keepLines w:val="0"/>
        <w:pageBreakBefore w:val="0"/>
        <w:widowControl w:val="0"/>
        <w:numPr>
          <w:ilvl w:val="0"/>
          <w:numId w:val="0"/>
        </w:numPr>
        <w:kinsoku/>
        <w:wordWrap/>
        <w:overflowPunct/>
        <w:topLinePunct w:val="0"/>
        <w:autoSpaceDE/>
        <w:autoSpaceDN/>
        <w:bidi w:val="0"/>
        <w:spacing w:line="360" w:lineRule="auto"/>
        <w:ind w:leftChars="0"/>
        <w:jc w:val="left"/>
        <w:rPr>
          <w:rFonts w:ascii="宋体" w:hAnsi="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付款条件和方式：</w:t>
      </w:r>
    </w:p>
    <w:p w14:paraId="3903FD1A">
      <w:pPr>
        <w:keepNext w:val="0"/>
        <w:keepLines w:val="0"/>
        <w:pageBreakBefore w:val="0"/>
        <w:widowControl w:val="0"/>
        <w:kinsoku/>
        <w:wordWrap/>
        <w:overflowPunct/>
        <w:topLinePunct w:val="0"/>
        <w:autoSpaceDE/>
        <w:autoSpaceDN/>
        <w:bidi w:val="0"/>
        <w:snapToGrid w:val="0"/>
        <w:spacing w:line="360" w:lineRule="auto"/>
        <w:ind w:firstLine="420" w:firstLineChars="200"/>
        <w:rPr>
          <w:rFonts w:ascii="Times New Roman" w:hAnsi="Times New Roman"/>
          <w:sz w:val="21"/>
          <w:szCs w:val="21"/>
        </w:rPr>
      </w:pPr>
      <w:r>
        <w:rPr>
          <w:rFonts w:hint="eastAsia" w:ascii="Times New Roman" w:hAnsi="Times New Roman"/>
          <w:sz w:val="21"/>
          <w:szCs w:val="21"/>
        </w:rPr>
        <w:t>费用为固定费用，</w:t>
      </w:r>
      <w:r>
        <w:rPr>
          <w:rFonts w:hint="eastAsia" w:ascii="Times New Roman" w:hAnsi="Times New Roman"/>
          <w:sz w:val="21"/>
          <w:szCs w:val="21"/>
          <w:lang w:eastAsia="zh-CN"/>
        </w:rPr>
        <w:t>投标</w:t>
      </w:r>
      <w:r>
        <w:rPr>
          <w:rFonts w:hint="eastAsia" w:ascii="Times New Roman" w:hAnsi="Times New Roman"/>
          <w:sz w:val="21"/>
          <w:szCs w:val="21"/>
        </w:rPr>
        <w:t>人不得违反合同约定增加费用、降低服务标准或减少服务项目。</w:t>
      </w:r>
    </w:p>
    <w:p w14:paraId="2764BAB7">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sz w:val="21"/>
          <w:szCs w:val="21"/>
        </w:rPr>
      </w:pPr>
      <w:r>
        <w:rPr>
          <w:rFonts w:hint="eastAsia"/>
          <w:sz w:val="21"/>
          <w:szCs w:val="21"/>
        </w:rPr>
        <w:t>采购人分</w:t>
      </w:r>
      <w:r>
        <w:rPr>
          <w:rFonts w:hint="eastAsia"/>
          <w:sz w:val="21"/>
          <w:szCs w:val="21"/>
          <w:lang w:val="en-US" w:eastAsia="zh-CN"/>
        </w:rPr>
        <w:t>3</w:t>
      </w:r>
      <w:r>
        <w:rPr>
          <w:rFonts w:hint="eastAsia"/>
          <w:sz w:val="21"/>
          <w:szCs w:val="21"/>
        </w:rPr>
        <w:t>次支付物业费，采购人应在合同生效且中标人向采购人支付完成履约保证金后，并完成所有交接工作、入场提供服务，采购人履行相关财政资金审批手续后的15个工作日内向中标人支付合同总金额的70%服务费；2026年9月底前完成中期评审合格后，采购人履行相关财政资金审批手续后的15个工作日内向中标人支付合同总金额的20%服务费；2026年12月10日前，中标人向采购人提交服务报告等服务文档，经终期考评合格、签署履约验收单</w:t>
      </w:r>
      <w:r>
        <w:rPr>
          <w:rFonts w:hint="eastAsia"/>
          <w:sz w:val="21"/>
          <w:szCs w:val="21"/>
          <w:lang w:eastAsia="zh-CN"/>
        </w:rPr>
        <w:t>，</w:t>
      </w:r>
      <w:r>
        <w:rPr>
          <w:rFonts w:hint="eastAsia"/>
          <w:sz w:val="21"/>
          <w:szCs w:val="21"/>
        </w:rPr>
        <w:t>采购人履行相关财政资金审批手续后的15个工作日内后支付10%服务费。</w:t>
      </w:r>
    </w:p>
    <w:p w14:paraId="634F85FA">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sz w:val="21"/>
          <w:szCs w:val="21"/>
        </w:rPr>
      </w:pPr>
      <w:r>
        <w:rPr>
          <w:rFonts w:hint="eastAsia"/>
          <w:sz w:val="21"/>
          <w:szCs w:val="21"/>
        </w:rPr>
        <w:t>采购人每次付款前，中标人应向采购人开具等额合法可报销的增值税普通发票，否则采购人有权延迟或拒绝付款，且不承担任何违约责任。</w:t>
      </w:r>
    </w:p>
    <w:p w14:paraId="58859DCF">
      <w:pPr>
        <w:keepNext w:val="0"/>
        <w:keepLines w:val="0"/>
        <w:pageBreakBefore w:val="0"/>
        <w:widowControl w:val="0"/>
        <w:kinsoku/>
        <w:wordWrap/>
        <w:overflowPunct/>
        <w:topLinePunct w:val="0"/>
        <w:autoSpaceDE/>
        <w:autoSpaceDN/>
        <w:bidi w:val="0"/>
        <w:snapToGrid w:val="0"/>
        <w:spacing w:line="360" w:lineRule="auto"/>
        <w:ind w:firstLine="420" w:firstLineChars="200"/>
        <w:rPr>
          <w:sz w:val="21"/>
          <w:szCs w:val="21"/>
        </w:rPr>
      </w:pPr>
      <w:r>
        <w:rPr>
          <w:rFonts w:hint="eastAsia"/>
          <w:sz w:val="21"/>
          <w:szCs w:val="21"/>
        </w:rPr>
        <w:t>采购人付款如遇到国库财政预算支付的限制，采购人和中标人双方另行协商解决，也可顺延付款期限，采购人不承担违约责任，但采购人应当将延迟付款理由通知到中标人，且在支付限制解除后立即完成对中标人的付款。中标人不得因此暂停、终止、拒绝、延迟义务的履行。服务期内如财政政策发生变化需双方协商解决。</w:t>
      </w:r>
    </w:p>
    <w:p w14:paraId="2CD050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ascii="宋体" w:hAnsi="宋体" w:cs="宋体"/>
          <w:sz w:val="21"/>
          <w:szCs w:val="21"/>
        </w:rPr>
      </w:pPr>
      <w:r>
        <w:rPr>
          <w:sz w:val="21"/>
          <w:szCs w:val="21"/>
        </w:rPr>
        <w:t>履约保证金：</w:t>
      </w:r>
      <w:r>
        <w:rPr>
          <w:rFonts w:hint="eastAsia"/>
          <w:sz w:val="21"/>
          <w:szCs w:val="21"/>
        </w:rPr>
        <w:t>合同生效后15个工作日内，采购人向投标人收取合同款的百分之五作为监督物业服务的履约保证金，如果投标人未能按合同规定履行其义务，采购人有权从履约保证金中先行扣除相应金额的违约金，履约保证金金额不足时，投标人应当在接到采购人通知后</w:t>
      </w:r>
      <w:r>
        <w:rPr>
          <w:sz w:val="21"/>
          <w:szCs w:val="21"/>
        </w:rPr>
        <w:t>3</w:t>
      </w:r>
      <w:r>
        <w:rPr>
          <w:rFonts w:hint="eastAsia"/>
          <w:sz w:val="21"/>
          <w:szCs w:val="21"/>
        </w:rPr>
        <w:t>个工作日内补足。合同履行完毕后，采购人在履行相关审批手续后的30个工作日内，如投标人提供的服务</w:t>
      </w:r>
      <w:r>
        <w:rPr>
          <w:sz w:val="21"/>
          <w:szCs w:val="21"/>
        </w:rPr>
        <w:t>满足合同</w:t>
      </w:r>
      <w:r>
        <w:rPr>
          <w:rFonts w:hint="eastAsia"/>
          <w:sz w:val="21"/>
          <w:szCs w:val="21"/>
        </w:rPr>
        <w:t>约定及采购人</w:t>
      </w:r>
      <w:r>
        <w:rPr>
          <w:sz w:val="21"/>
          <w:szCs w:val="21"/>
        </w:rPr>
        <w:t>要求</w:t>
      </w:r>
      <w:r>
        <w:rPr>
          <w:rFonts w:hint="eastAsia"/>
          <w:sz w:val="21"/>
          <w:szCs w:val="21"/>
        </w:rPr>
        <w:t>无质量问题和其他违约行为，无息退还履约保证金。</w:t>
      </w:r>
    </w:p>
    <w:p w14:paraId="494ED506">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sz w:val="28"/>
          <w:szCs w:val="28"/>
        </w:rPr>
      </w:pPr>
      <w:r>
        <w:rPr>
          <w:rFonts w:hint="eastAsia" w:ascii="宋体" w:hAnsi="宋体" w:cs="宋体"/>
          <w:b/>
          <w:sz w:val="28"/>
          <w:szCs w:val="28"/>
        </w:rPr>
        <w:t>三、技术要求</w:t>
      </w:r>
    </w:p>
    <w:p w14:paraId="2B8621DB">
      <w:pPr>
        <w:keepNext w:val="0"/>
        <w:keepLines w:val="0"/>
        <w:pageBreakBefore w:val="0"/>
        <w:widowControl w:val="0"/>
        <w:kinsoku/>
        <w:wordWrap/>
        <w:overflowPunct/>
        <w:topLinePunct w:val="0"/>
        <w:autoSpaceDE/>
        <w:autoSpaceDN/>
        <w:bidi w:val="0"/>
        <w:spacing w:line="360" w:lineRule="auto"/>
        <w:rPr>
          <w:rFonts w:hint="eastAsia"/>
          <w:b w:val="0"/>
          <w:bCs w:val="0"/>
          <w:sz w:val="21"/>
          <w:szCs w:val="21"/>
          <w:lang w:val="en-US" w:eastAsia="zh-CN"/>
        </w:rPr>
      </w:pPr>
      <w:r>
        <w:rPr>
          <w:rFonts w:hint="eastAsia"/>
          <w:b/>
          <w:bCs/>
          <w:sz w:val="21"/>
          <w:szCs w:val="21"/>
          <w:lang w:val="en-US" w:eastAsia="zh-CN"/>
        </w:rPr>
        <w:t>1.基本要求</w:t>
      </w:r>
    </w:p>
    <w:p w14:paraId="11F3E1B0">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b w:val="0"/>
          <w:bCs w:val="0"/>
          <w:sz w:val="21"/>
          <w:szCs w:val="21"/>
          <w:lang w:val="en-US" w:eastAsia="zh-CN"/>
        </w:rPr>
      </w:pPr>
      <w:r>
        <w:rPr>
          <w:rFonts w:hint="eastAsia"/>
          <w:b w:val="0"/>
          <w:bCs w:val="0"/>
          <w:sz w:val="21"/>
          <w:szCs w:val="21"/>
          <w:lang w:val="en-US" w:eastAsia="zh-CN"/>
        </w:rPr>
        <w:t>1.1人员管理：报价人负责各岗位人员管理和安排。</w:t>
      </w:r>
    </w:p>
    <w:p w14:paraId="225852F4">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b w:val="0"/>
          <w:bCs w:val="0"/>
          <w:sz w:val="21"/>
          <w:szCs w:val="21"/>
          <w:lang w:val="en-US" w:eastAsia="zh-CN"/>
        </w:rPr>
      </w:pPr>
      <w:r>
        <w:rPr>
          <w:rFonts w:hint="eastAsia"/>
          <w:b w:val="0"/>
          <w:bCs w:val="0"/>
          <w:sz w:val="21"/>
          <w:szCs w:val="21"/>
          <w:lang w:val="en-US" w:eastAsia="zh-CN"/>
        </w:rPr>
        <w:t>1.2人员信息提供：报价人向采购人提供相关人员信息。</w:t>
      </w:r>
    </w:p>
    <w:p w14:paraId="4BD90205">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b w:val="0"/>
          <w:bCs w:val="0"/>
          <w:sz w:val="21"/>
          <w:szCs w:val="21"/>
          <w:lang w:val="en-US" w:eastAsia="zh-CN"/>
        </w:rPr>
      </w:pPr>
      <w:r>
        <w:rPr>
          <w:rFonts w:hint="eastAsia"/>
          <w:b w:val="0"/>
          <w:bCs w:val="0"/>
          <w:sz w:val="21"/>
          <w:szCs w:val="21"/>
          <w:lang w:val="en-US" w:eastAsia="zh-CN"/>
        </w:rPr>
        <w:t>1.3从业人员应具备相应岗位从业经验和资格证书，具有高度责任感及政治敏感性，聘用人员无违法乱纪记录，并开具无犯罪证明，身体健康（提供健康证明），男士年龄为18-63岁周岁，女士年龄为18-58岁周岁。</w:t>
      </w:r>
    </w:p>
    <w:p w14:paraId="677C774E">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b w:val="0"/>
          <w:bCs w:val="0"/>
          <w:sz w:val="21"/>
          <w:szCs w:val="21"/>
          <w:lang w:val="en-US" w:eastAsia="zh-CN"/>
        </w:rPr>
      </w:pPr>
      <w:r>
        <w:rPr>
          <w:rFonts w:hint="eastAsia"/>
          <w:b w:val="0"/>
          <w:bCs w:val="0"/>
          <w:sz w:val="21"/>
          <w:szCs w:val="21"/>
          <w:lang w:val="en-US" w:eastAsia="zh-CN"/>
        </w:rPr>
        <w:t>1.4派驻人员不得身兼多职或从事非采购人使用楼的物业管理服务。</w:t>
      </w:r>
    </w:p>
    <w:p w14:paraId="6A1596A8">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b w:val="0"/>
          <w:bCs w:val="0"/>
          <w:sz w:val="21"/>
          <w:szCs w:val="21"/>
          <w:lang w:val="en-US" w:eastAsia="zh-CN"/>
        </w:rPr>
      </w:pPr>
      <w:r>
        <w:rPr>
          <w:rFonts w:hint="eastAsia"/>
          <w:b w:val="0"/>
          <w:bCs w:val="0"/>
          <w:sz w:val="21"/>
          <w:szCs w:val="21"/>
          <w:lang w:val="en-US" w:eastAsia="zh-CN"/>
        </w:rPr>
        <w:t>1.5重点岗位包括高压配电室、地源热泵中央空调值班室、维修岗等。</w:t>
      </w:r>
    </w:p>
    <w:p w14:paraId="719C2412">
      <w:pPr>
        <w:keepNext w:val="0"/>
        <w:keepLines w:val="0"/>
        <w:pageBreakBefore w:val="0"/>
        <w:widowControl w:val="0"/>
        <w:kinsoku/>
        <w:wordWrap/>
        <w:overflowPunct/>
        <w:topLinePunct w:val="0"/>
        <w:autoSpaceDE/>
        <w:autoSpaceDN/>
        <w:bidi w:val="0"/>
        <w:spacing w:line="360" w:lineRule="auto"/>
        <w:rPr>
          <w:rFonts w:hint="default"/>
          <w:b/>
          <w:bCs/>
          <w:sz w:val="21"/>
          <w:szCs w:val="21"/>
          <w:lang w:val="en-US" w:eastAsia="zh-CN"/>
        </w:rPr>
      </w:pPr>
      <w:r>
        <w:rPr>
          <w:rFonts w:hint="eastAsia"/>
          <w:b/>
          <w:bCs/>
          <w:sz w:val="21"/>
          <w:szCs w:val="21"/>
          <w:lang w:val="en-US" w:eastAsia="zh-CN"/>
        </w:rPr>
        <w:t>2.服务内容及要求</w:t>
      </w:r>
    </w:p>
    <w:p w14:paraId="06B2075A">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b w:val="0"/>
          <w:bCs w:val="0"/>
          <w:sz w:val="21"/>
          <w:szCs w:val="21"/>
          <w:lang w:val="en-US" w:eastAsia="zh-CN"/>
        </w:rPr>
      </w:pPr>
      <w:r>
        <w:rPr>
          <w:rFonts w:hint="eastAsia"/>
          <w:b w:val="0"/>
          <w:bCs w:val="0"/>
          <w:sz w:val="21"/>
          <w:szCs w:val="21"/>
          <w:lang w:val="en-US" w:eastAsia="zh-CN"/>
        </w:rPr>
        <w:t>2.1项目管理服务：投标人拟派遣的项目负责人必须为一名专职人员，不得在其他物业项目兼职，有大专及以上学历和从事物业管理行业工作三年以上经验。负责统筹整体项目，确保项目进度和质量，每日协助采购人各科室对重要岗位巡查，做好防汛、防火、防盗等安全管理工作。节前安全排查，车棚电动车充电、宿舍安全用电，定期检查各个重点环节，发现问题及时处理。协助采购人开展节约能源资源工作，对院内水、电能耗节约把控，维修物料的合理使用、生活垃圾分类等与采购人沟通协作；根据院区实际情况，在重大活动、重要节点期间加大安全巡视巡察力度，及时消除安全隐患，配合采购人做好救灾、抢险等善后工作，保障院区安全生产工作。</w:t>
      </w:r>
    </w:p>
    <w:p w14:paraId="0D62666A">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b w:val="0"/>
          <w:bCs w:val="0"/>
          <w:sz w:val="21"/>
          <w:szCs w:val="21"/>
          <w:lang w:val="en-US" w:eastAsia="zh-CN"/>
        </w:rPr>
      </w:pPr>
      <w:r>
        <w:rPr>
          <w:rFonts w:hint="eastAsia"/>
          <w:b w:val="0"/>
          <w:bCs w:val="0"/>
          <w:sz w:val="21"/>
          <w:szCs w:val="21"/>
          <w:lang w:val="en-US" w:eastAsia="zh-CN"/>
        </w:rPr>
        <w:t>2.2清洁服务：保障院区室内外公共区域环境及设施设备清洁，垃圾的清扫清运，做到室外地面无杂物、无废弃物,室内地面干净整洁、无水迹、无脚印，墙面、镜面、门面无灰尘手印，保洁服务应按需取水，避免水资源浪费，对院区内卫生间所需卫生纸、洗手液等低耗用品的及时保障供应，杜绝浪费；</w:t>
      </w:r>
    </w:p>
    <w:p w14:paraId="049FB448">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b w:val="0"/>
          <w:bCs w:val="0"/>
          <w:sz w:val="21"/>
          <w:szCs w:val="21"/>
          <w:lang w:val="en-US" w:eastAsia="zh-CN"/>
        </w:rPr>
      </w:pPr>
      <w:r>
        <w:rPr>
          <w:rFonts w:hint="eastAsia"/>
          <w:b w:val="0"/>
          <w:bCs w:val="0"/>
          <w:sz w:val="21"/>
          <w:szCs w:val="21"/>
          <w:lang w:val="en-US" w:eastAsia="zh-CN"/>
        </w:rPr>
        <w:t>2.3办公区域接待服务：收到会议通知后，一是做好会前准备：在会议召开前打开灯光、空调，按规格摆放纸巾纸张、笔、矿泉水等，并提前烧好开水、茶叶备用，根据参会名单排放好桌签。二是做好会中服务：待领导落座后提供会间服务，随时关注参会人员需求，及时添加茶水、更换水杯、补充会议用品。三是做好会后整理。会议结束后及时清理垃圾，包括废弃的纸张、水杯、矿泉水瓶等。恢复会议桌椅，整理桌面物品。关闭会议室的灯光、空调等设备并切断电源。清洁会议室的地面、桌面、设备，关闭门窗确保会议室恢复整洁状态。日常做好会议室内的消毒、通风、换气等工作，做到随时可以启用。​做好会议场所的日常巡视，发现漏水等问题及时反馈报修。在大型活动或会务保障时，按照礼仪规范，在指定位置热情、礼貌迎送来访或参会人员，引导到指定地点参加会议。提供茶水等服务。完成对会议室的卫生清洁和管理。擦拭桌椅、门窗、扶手、开关等设施，及时清理垃圾桶。会务服务人员要及时完成中心领导和办公室临时交办的各项工作任务。</w:t>
      </w:r>
    </w:p>
    <w:p w14:paraId="241E1D00">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b w:val="0"/>
          <w:bCs w:val="0"/>
          <w:sz w:val="21"/>
          <w:szCs w:val="21"/>
          <w:lang w:val="en-US" w:eastAsia="zh-CN"/>
        </w:rPr>
      </w:pPr>
      <w:r>
        <w:rPr>
          <w:rFonts w:hint="eastAsia"/>
          <w:b w:val="0"/>
          <w:bCs w:val="0"/>
          <w:sz w:val="21"/>
          <w:szCs w:val="21"/>
          <w:lang w:val="en-US" w:eastAsia="zh-CN"/>
        </w:rPr>
        <w:t>2.4基础设备设施维修保养和微型消防站服务：承担所有区域基础公共设施设备的维修维护。房屋建筑本体共用部位：水、电、气类、基础设施设备类（楼盖、屋顶、梁、柱、内外墙体和基础等承重结构基础部位、外墙面、楼梯间、走廊通道、门厅、地面、金属构架、卫浴洁具、办公家具（共用的上下水管道、管井、落水管、污水井泵、照明等）的维修、养护和管理。同时根据不同季节，不同天气条件下自然光照特点和不同时段的照度需求，协助采购人优化门厅，走廊，通道等公共区域照明方案，杜绝"白昼灯"；会议室等公共区域使用结束后关闭照明，杜绝"长明灯"；夏季室内空调温度设置不低于 26 摄氏度，冬季室内空调温度设置不高于 20 摄氏度，无人楼宇冬季温度设置不高于 5 摄氏度。保障24小时院区内所有区域的防火安全巡查、消防设备设施维护，以及初期火灾处置、人员疏散引导等防火安全服务工作。电工需要具备高（低）压电工证，至少1人拥有有限空间作业证件、电梯安全员证。</w:t>
      </w:r>
    </w:p>
    <w:p w14:paraId="64B6F336">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b w:val="0"/>
          <w:bCs w:val="0"/>
          <w:sz w:val="21"/>
          <w:szCs w:val="21"/>
          <w:lang w:val="en-US" w:eastAsia="zh-CN"/>
        </w:rPr>
      </w:pPr>
      <w:r>
        <w:rPr>
          <w:rFonts w:hint="eastAsia"/>
          <w:b w:val="0"/>
          <w:bCs w:val="0"/>
          <w:sz w:val="21"/>
          <w:szCs w:val="21"/>
          <w:lang w:val="en-US" w:eastAsia="zh-CN"/>
        </w:rPr>
        <w:t>2.5.高压配电室值守服务：工作人员须具有高压电工从业证，熟练操作高压配电室内各项设备，保障院区电力供应，确保24小时值班值守，不得无故缺岗漏岗，严格按照配电室管理制度做好交接班及各项工作记录等。</w:t>
      </w:r>
    </w:p>
    <w:p w14:paraId="74ED4D70">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b w:val="0"/>
          <w:bCs w:val="0"/>
          <w:sz w:val="21"/>
          <w:szCs w:val="21"/>
          <w:lang w:val="en-US" w:eastAsia="zh-CN"/>
        </w:rPr>
      </w:pPr>
      <w:r>
        <w:rPr>
          <w:rFonts w:hint="eastAsia"/>
          <w:b w:val="0"/>
          <w:bCs w:val="0"/>
          <w:sz w:val="21"/>
          <w:szCs w:val="21"/>
          <w:lang w:val="en-US" w:eastAsia="zh-CN"/>
        </w:rPr>
        <w:t>2.6.信息通信网络终端维修服务：精通弱电设备（电话、门禁、电视系统、道闸、网络、多媒体会议系统、视频监控、消费系统、广播系统等）和机房设备。专业设备的巡检和维保，对异常情况报事并处理。具有2年以上弱电系统维护相关工作经验。</w:t>
      </w:r>
    </w:p>
    <w:p w14:paraId="7A99A85D">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b w:val="0"/>
          <w:bCs w:val="0"/>
          <w:sz w:val="21"/>
          <w:szCs w:val="21"/>
          <w:lang w:val="en-US" w:eastAsia="zh-CN"/>
        </w:rPr>
      </w:pPr>
      <w:r>
        <w:rPr>
          <w:rFonts w:hint="eastAsia"/>
          <w:b w:val="0"/>
          <w:bCs w:val="0"/>
          <w:sz w:val="21"/>
          <w:szCs w:val="21"/>
          <w:lang w:val="en-US" w:eastAsia="zh-CN"/>
        </w:rPr>
        <w:t>2.7年检项目：</w:t>
      </w:r>
    </w:p>
    <w:p w14:paraId="48AB8837">
      <w:pPr>
        <w:keepNext w:val="0"/>
        <w:keepLines w:val="0"/>
        <w:pageBreakBefore w:val="0"/>
        <w:widowControl w:val="0"/>
        <w:kinsoku/>
        <w:wordWrap/>
        <w:overflowPunct/>
        <w:topLinePunct w:val="0"/>
        <w:autoSpaceDE/>
        <w:autoSpaceDN/>
        <w:bidi w:val="0"/>
        <w:adjustRightInd/>
        <w:snapToGrid/>
        <w:spacing w:line="360" w:lineRule="auto"/>
        <w:ind w:left="840" w:leftChars="400"/>
        <w:textAlignment w:val="auto"/>
        <w:rPr>
          <w:rFonts w:hint="eastAsia"/>
          <w:b w:val="0"/>
          <w:bCs w:val="0"/>
          <w:sz w:val="21"/>
          <w:szCs w:val="21"/>
          <w:lang w:val="en-US" w:eastAsia="zh-CN"/>
        </w:rPr>
      </w:pPr>
      <w:r>
        <w:rPr>
          <w:rFonts w:hint="eastAsia"/>
          <w:b w:val="0"/>
          <w:bCs w:val="0"/>
          <w:sz w:val="21"/>
          <w:szCs w:val="21"/>
          <w:lang w:val="en-US" w:eastAsia="zh-CN"/>
        </w:rPr>
        <w:t>2.7.1高压配电室绝缘工具检测；</w:t>
      </w:r>
    </w:p>
    <w:p w14:paraId="5B105676">
      <w:pPr>
        <w:keepNext w:val="0"/>
        <w:keepLines w:val="0"/>
        <w:pageBreakBefore w:val="0"/>
        <w:widowControl w:val="0"/>
        <w:kinsoku/>
        <w:wordWrap/>
        <w:overflowPunct/>
        <w:topLinePunct w:val="0"/>
        <w:autoSpaceDE/>
        <w:autoSpaceDN/>
        <w:bidi w:val="0"/>
        <w:adjustRightInd/>
        <w:snapToGrid/>
        <w:spacing w:line="360" w:lineRule="auto"/>
        <w:ind w:left="840" w:leftChars="400"/>
        <w:textAlignment w:val="auto"/>
        <w:rPr>
          <w:rFonts w:hint="eastAsia"/>
          <w:b w:val="0"/>
          <w:bCs w:val="0"/>
          <w:sz w:val="21"/>
          <w:szCs w:val="21"/>
          <w:lang w:val="en-US" w:eastAsia="zh-CN"/>
        </w:rPr>
      </w:pPr>
      <w:r>
        <w:rPr>
          <w:rFonts w:hint="eastAsia"/>
          <w:b w:val="0"/>
          <w:bCs w:val="0"/>
          <w:sz w:val="21"/>
          <w:szCs w:val="21"/>
          <w:lang w:val="en-US" w:eastAsia="zh-CN"/>
        </w:rPr>
        <w:t>2.7.2避雷设施检验；</w:t>
      </w:r>
    </w:p>
    <w:p w14:paraId="17C763D1">
      <w:pPr>
        <w:keepNext w:val="0"/>
        <w:keepLines w:val="0"/>
        <w:pageBreakBefore w:val="0"/>
        <w:widowControl w:val="0"/>
        <w:kinsoku/>
        <w:wordWrap/>
        <w:overflowPunct/>
        <w:topLinePunct w:val="0"/>
        <w:autoSpaceDE/>
        <w:autoSpaceDN/>
        <w:bidi w:val="0"/>
        <w:adjustRightInd/>
        <w:snapToGrid/>
        <w:spacing w:line="360" w:lineRule="auto"/>
        <w:ind w:left="840" w:leftChars="400"/>
        <w:textAlignment w:val="auto"/>
        <w:rPr>
          <w:rFonts w:hint="eastAsia"/>
          <w:b w:val="0"/>
          <w:bCs w:val="0"/>
          <w:sz w:val="21"/>
          <w:szCs w:val="21"/>
          <w:lang w:val="en-US" w:eastAsia="zh-CN"/>
        </w:rPr>
      </w:pPr>
      <w:r>
        <w:rPr>
          <w:rFonts w:hint="eastAsia"/>
          <w:b w:val="0"/>
          <w:bCs w:val="0"/>
          <w:sz w:val="21"/>
          <w:szCs w:val="21"/>
          <w:lang w:val="en-US" w:eastAsia="zh-CN"/>
        </w:rPr>
        <w:t>2.7.3水质检测；</w:t>
      </w:r>
    </w:p>
    <w:p w14:paraId="2D495229">
      <w:pPr>
        <w:keepNext w:val="0"/>
        <w:keepLines w:val="0"/>
        <w:pageBreakBefore w:val="0"/>
        <w:widowControl w:val="0"/>
        <w:kinsoku/>
        <w:wordWrap/>
        <w:overflowPunct/>
        <w:topLinePunct w:val="0"/>
        <w:autoSpaceDE/>
        <w:autoSpaceDN/>
        <w:bidi w:val="0"/>
        <w:adjustRightInd/>
        <w:snapToGrid/>
        <w:spacing w:line="360" w:lineRule="auto"/>
        <w:ind w:left="840" w:leftChars="400"/>
        <w:textAlignment w:val="auto"/>
        <w:rPr>
          <w:rFonts w:hint="eastAsia"/>
          <w:b w:val="0"/>
          <w:bCs w:val="0"/>
          <w:sz w:val="21"/>
          <w:szCs w:val="21"/>
          <w:lang w:val="en-US" w:eastAsia="zh-CN"/>
        </w:rPr>
      </w:pPr>
      <w:r>
        <w:rPr>
          <w:rFonts w:hint="eastAsia"/>
          <w:b w:val="0"/>
          <w:bCs w:val="0"/>
          <w:sz w:val="21"/>
          <w:szCs w:val="21"/>
          <w:lang w:val="en-US" w:eastAsia="zh-CN"/>
        </w:rPr>
        <w:t>2.7.4消防电气检验；</w:t>
      </w:r>
    </w:p>
    <w:p w14:paraId="4D2C81DD">
      <w:pPr>
        <w:keepNext w:val="0"/>
        <w:keepLines w:val="0"/>
        <w:pageBreakBefore w:val="0"/>
        <w:widowControl w:val="0"/>
        <w:kinsoku/>
        <w:wordWrap/>
        <w:overflowPunct/>
        <w:topLinePunct w:val="0"/>
        <w:autoSpaceDE/>
        <w:autoSpaceDN/>
        <w:bidi w:val="0"/>
        <w:adjustRightInd/>
        <w:snapToGrid/>
        <w:spacing w:line="360" w:lineRule="auto"/>
        <w:ind w:left="840" w:leftChars="400"/>
        <w:textAlignment w:val="auto"/>
        <w:rPr>
          <w:rFonts w:hint="eastAsia"/>
          <w:b w:val="0"/>
          <w:bCs w:val="0"/>
          <w:sz w:val="21"/>
          <w:szCs w:val="21"/>
          <w:lang w:val="en-US" w:eastAsia="zh-CN"/>
        </w:rPr>
      </w:pPr>
      <w:r>
        <w:rPr>
          <w:rFonts w:hint="eastAsia"/>
          <w:b w:val="0"/>
          <w:bCs w:val="0"/>
          <w:sz w:val="21"/>
          <w:szCs w:val="21"/>
          <w:lang w:val="en-US" w:eastAsia="zh-CN"/>
        </w:rPr>
        <w:t>2.7.5电梯检测：8部客梯2部食梯检测；</w:t>
      </w:r>
    </w:p>
    <w:p w14:paraId="19C81921">
      <w:pPr>
        <w:keepNext w:val="0"/>
        <w:keepLines w:val="0"/>
        <w:pageBreakBefore w:val="0"/>
        <w:widowControl w:val="0"/>
        <w:kinsoku/>
        <w:wordWrap/>
        <w:overflowPunct/>
        <w:topLinePunct w:val="0"/>
        <w:autoSpaceDE/>
        <w:autoSpaceDN/>
        <w:bidi w:val="0"/>
        <w:adjustRightInd/>
        <w:snapToGrid/>
        <w:spacing w:line="360" w:lineRule="auto"/>
        <w:ind w:left="840" w:leftChars="400"/>
        <w:textAlignment w:val="auto"/>
        <w:rPr>
          <w:rFonts w:hint="eastAsia"/>
          <w:b w:val="0"/>
          <w:bCs w:val="0"/>
          <w:sz w:val="21"/>
          <w:szCs w:val="21"/>
          <w:lang w:val="en-US" w:eastAsia="zh-CN"/>
        </w:rPr>
      </w:pPr>
      <w:r>
        <w:rPr>
          <w:rFonts w:hint="eastAsia"/>
          <w:b w:val="0"/>
          <w:bCs w:val="0"/>
          <w:sz w:val="21"/>
          <w:szCs w:val="21"/>
          <w:lang w:val="en-US" w:eastAsia="zh-CN"/>
        </w:rPr>
        <w:t>2.7.6灭火器检测</w:t>
      </w:r>
    </w:p>
    <w:p w14:paraId="72739173">
      <w:pPr>
        <w:keepNext w:val="0"/>
        <w:keepLines w:val="0"/>
        <w:pageBreakBefore w:val="0"/>
        <w:widowControl w:val="0"/>
        <w:kinsoku/>
        <w:wordWrap/>
        <w:overflowPunct/>
        <w:topLinePunct w:val="0"/>
        <w:autoSpaceDE/>
        <w:autoSpaceDN/>
        <w:bidi w:val="0"/>
        <w:adjustRightInd/>
        <w:snapToGrid/>
        <w:spacing w:line="360" w:lineRule="auto"/>
        <w:ind w:left="840" w:leftChars="400"/>
        <w:textAlignment w:val="auto"/>
        <w:rPr>
          <w:rFonts w:hint="eastAsia"/>
          <w:b w:val="0"/>
          <w:bCs w:val="0"/>
          <w:sz w:val="21"/>
          <w:szCs w:val="21"/>
          <w:lang w:val="en-US" w:eastAsia="zh-CN"/>
        </w:rPr>
      </w:pPr>
      <w:r>
        <w:rPr>
          <w:rFonts w:hint="eastAsia"/>
          <w:b w:val="0"/>
          <w:bCs w:val="0"/>
          <w:sz w:val="21"/>
          <w:szCs w:val="21"/>
          <w:lang w:val="en-US" w:eastAsia="zh-CN"/>
        </w:rPr>
        <w:t>2.7.7后厨燃气报警装置及机房压力表有限空间气体检测设备检测</w:t>
      </w:r>
    </w:p>
    <w:p w14:paraId="45820EF8">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b w:val="0"/>
          <w:bCs w:val="0"/>
          <w:sz w:val="21"/>
          <w:szCs w:val="21"/>
          <w:lang w:val="en-US" w:eastAsia="zh-CN"/>
        </w:rPr>
      </w:pPr>
      <w:r>
        <w:rPr>
          <w:rFonts w:hint="eastAsia"/>
          <w:b w:val="0"/>
          <w:bCs w:val="0"/>
          <w:sz w:val="21"/>
          <w:szCs w:val="21"/>
          <w:lang w:val="en-US" w:eastAsia="zh-CN"/>
        </w:rPr>
        <w:t>2.8设备设施维护保养</w:t>
      </w:r>
    </w:p>
    <w:p w14:paraId="5D9CBC08">
      <w:pPr>
        <w:keepNext w:val="0"/>
        <w:keepLines w:val="0"/>
        <w:pageBreakBefore w:val="0"/>
        <w:widowControl w:val="0"/>
        <w:kinsoku/>
        <w:wordWrap/>
        <w:overflowPunct/>
        <w:topLinePunct w:val="0"/>
        <w:autoSpaceDE/>
        <w:autoSpaceDN/>
        <w:bidi w:val="0"/>
        <w:adjustRightInd/>
        <w:snapToGrid/>
        <w:spacing w:line="360" w:lineRule="auto"/>
        <w:ind w:left="840" w:leftChars="400"/>
        <w:textAlignment w:val="auto"/>
        <w:rPr>
          <w:rFonts w:hint="eastAsia"/>
          <w:b w:val="0"/>
          <w:bCs w:val="0"/>
          <w:sz w:val="21"/>
          <w:szCs w:val="21"/>
          <w:lang w:val="en-US" w:eastAsia="zh-CN"/>
        </w:rPr>
      </w:pPr>
      <w:r>
        <w:rPr>
          <w:rFonts w:hint="eastAsia"/>
          <w:b w:val="0"/>
          <w:bCs w:val="0"/>
          <w:sz w:val="21"/>
          <w:szCs w:val="21"/>
          <w:lang w:val="en-US" w:eastAsia="zh-CN"/>
        </w:rPr>
        <w:t>2.8.1电梯维护保养：电梯设备8部客梯2部食梯巡检、维护日常保养。</w:t>
      </w:r>
    </w:p>
    <w:p w14:paraId="49BDF8D6">
      <w:pPr>
        <w:keepNext w:val="0"/>
        <w:keepLines w:val="0"/>
        <w:pageBreakBefore w:val="0"/>
        <w:widowControl w:val="0"/>
        <w:kinsoku/>
        <w:wordWrap/>
        <w:overflowPunct/>
        <w:topLinePunct w:val="0"/>
        <w:autoSpaceDE/>
        <w:autoSpaceDN/>
        <w:bidi w:val="0"/>
        <w:adjustRightInd/>
        <w:snapToGrid/>
        <w:spacing w:line="360" w:lineRule="auto"/>
        <w:ind w:left="840" w:leftChars="400"/>
        <w:textAlignment w:val="auto"/>
        <w:rPr>
          <w:rFonts w:hint="eastAsia"/>
          <w:b w:val="0"/>
          <w:bCs w:val="0"/>
          <w:sz w:val="21"/>
          <w:szCs w:val="21"/>
          <w:lang w:val="en-US" w:eastAsia="zh-CN"/>
        </w:rPr>
      </w:pPr>
      <w:r>
        <w:rPr>
          <w:rFonts w:hint="eastAsia"/>
          <w:b w:val="0"/>
          <w:bCs w:val="0"/>
          <w:sz w:val="21"/>
          <w:szCs w:val="21"/>
          <w:lang w:val="en-US" w:eastAsia="zh-CN"/>
        </w:rPr>
        <w:t>2.8.2后厨维护保养及烟道清洗：后厨所有餐厨设备设施的检修、维护、保养，隔油池定期清洁维护，清洗烟道，天然气管道的维护与保养。</w:t>
      </w:r>
    </w:p>
    <w:p w14:paraId="689CD33A">
      <w:pPr>
        <w:keepNext w:val="0"/>
        <w:keepLines w:val="0"/>
        <w:pageBreakBefore w:val="0"/>
        <w:widowControl w:val="0"/>
        <w:kinsoku/>
        <w:wordWrap/>
        <w:overflowPunct/>
        <w:topLinePunct w:val="0"/>
        <w:autoSpaceDE/>
        <w:autoSpaceDN/>
        <w:bidi w:val="0"/>
        <w:adjustRightInd/>
        <w:snapToGrid/>
        <w:spacing w:line="360" w:lineRule="auto"/>
        <w:ind w:left="840" w:leftChars="400"/>
        <w:textAlignment w:val="auto"/>
        <w:rPr>
          <w:rFonts w:hint="default"/>
          <w:b w:val="0"/>
          <w:bCs w:val="0"/>
          <w:sz w:val="21"/>
          <w:szCs w:val="21"/>
          <w:lang w:val="en-US" w:eastAsia="zh-CN"/>
        </w:rPr>
      </w:pPr>
      <w:r>
        <w:rPr>
          <w:rFonts w:hint="eastAsia"/>
          <w:b w:val="0"/>
          <w:bCs w:val="0"/>
          <w:sz w:val="21"/>
          <w:szCs w:val="21"/>
          <w:lang w:val="en-US" w:eastAsia="zh-CN"/>
        </w:rPr>
        <w:t>2.8.3分体空调行维护保养：分体空调12台清洗、维护、保养。</w:t>
      </w:r>
    </w:p>
    <w:p w14:paraId="3432F905">
      <w:pPr>
        <w:keepNext w:val="0"/>
        <w:keepLines w:val="0"/>
        <w:pageBreakBefore w:val="0"/>
        <w:widowControl w:val="0"/>
        <w:kinsoku/>
        <w:wordWrap/>
        <w:overflowPunct/>
        <w:topLinePunct w:val="0"/>
        <w:autoSpaceDE/>
        <w:autoSpaceDN/>
        <w:bidi w:val="0"/>
        <w:adjustRightInd/>
        <w:snapToGrid/>
        <w:spacing w:line="360" w:lineRule="auto"/>
        <w:ind w:left="840" w:leftChars="400"/>
        <w:textAlignment w:val="auto"/>
        <w:rPr>
          <w:rFonts w:hint="eastAsia"/>
          <w:b w:val="0"/>
          <w:bCs w:val="0"/>
          <w:sz w:val="21"/>
          <w:szCs w:val="21"/>
          <w:lang w:val="en-US" w:eastAsia="zh-CN"/>
        </w:rPr>
      </w:pPr>
      <w:r>
        <w:rPr>
          <w:rFonts w:hint="eastAsia"/>
          <w:b w:val="0"/>
          <w:bCs w:val="0"/>
          <w:sz w:val="21"/>
          <w:szCs w:val="21"/>
          <w:lang w:val="en-US" w:eastAsia="zh-CN"/>
        </w:rPr>
        <w:t>2.8.4中央空调系统的运行维护保养：中央空调（地源热泵）系统、换风系统的运行清洗、维护、保养，深水井泵清洗、维护。</w:t>
      </w:r>
    </w:p>
    <w:p w14:paraId="78B6E5A6">
      <w:pPr>
        <w:keepNext w:val="0"/>
        <w:keepLines w:val="0"/>
        <w:pageBreakBefore w:val="0"/>
        <w:widowControl w:val="0"/>
        <w:kinsoku/>
        <w:wordWrap/>
        <w:overflowPunct/>
        <w:topLinePunct w:val="0"/>
        <w:autoSpaceDE/>
        <w:autoSpaceDN/>
        <w:bidi w:val="0"/>
        <w:adjustRightInd/>
        <w:snapToGrid/>
        <w:spacing w:line="360" w:lineRule="auto"/>
        <w:ind w:left="840" w:leftChars="400"/>
        <w:textAlignment w:val="auto"/>
        <w:rPr>
          <w:rFonts w:hint="eastAsia"/>
          <w:b w:val="0"/>
          <w:bCs w:val="0"/>
          <w:sz w:val="21"/>
          <w:szCs w:val="21"/>
          <w:lang w:val="en-US" w:eastAsia="zh-CN"/>
        </w:rPr>
      </w:pPr>
      <w:r>
        <w:rPr>
          <w:rFonts w:hint="eastAsia"/>
          <w:b w:val="0"/>
          <w:bCs w:val="0"/>
          <w:sz w:val="21"/>
          <w:szCs w:val="21"/>
          <w:lang w:val="en-US" w:eastAsia="zh-CN"/>
        </w:rPr>
        <w:t>2.8.5消防维保：消防泵房的日常清洁维护、消防设施的检测保养、消防管道的年检。</w:t>
      </w:r>
    </w:p>
    <w:p w14:paraId="66E7BB22">
      <w:pPr>
        <w:keepNext w:val="0"/>
        <w:keepLines w:val="0"/>
        <w:pageBreakBefore w:val="0"/>
        <w:widowControl w:val="0"/>
        <w:kinsoku/>
        <w:wordWrap/>
        <w:overflowPunct/>
        <w:topLinePunct w:val="0"/>
        <w:autoSpaceDE/>
        <w:autoSpaceDN/>
        <w:bidi w:val="0"/>
        <w:adjustRightInd/>
        <w:snapToGrid/>
        <w:spacing w:line="360" w:lineRule="auto"/>
        <w:ind w:left="840" w:leftChars="400"/>
        <w:textAlignment w:val="auto"/>
        <w:rPr>
          <w:rFonts w:hint="eastAsia"/>
          <w:b w:val="0"/>
          <w:bCs w:val="0"/>
          <w:sz w:val="21"/>
          <w:szCs w:val="21"/>
          <w:lang w:val="en-US" w:eastAsia="zh-CN"/>
        </w:rPr>
      </w:pPr>
      <w:r>
        <w:rPr>
          <w:rFonts w:hint="eastAsia"/>
          <w:b w:val="0"/>
          <w:bCs w:val="0"/>
          <w:sz w:val="21"/>
          <w:szCs w:val="21"/>
          <w:lang w:val="en-US" w:eastAsia="zh-CN"/>
        </w:rPr>
        <w:t>2.8.6生活用水泵房日常清洁，运行，维护；</w:t>
      </w:r>
    </w:p>
    <w:p w14:paraId="429CB622">
      <w:pPr>
        <w:keepNext w:val="0"/>
        <w:keepLines w:val="0"/>
        <w:pageBreakBefore w:val="0"/>
        <w:widowControl w:val="0"/>
        <w:kinsoku/>
        <w:wordWrap/>
        <w:overflowPunct/>
        <w:topLinePunct w:val="0"/>
        <w:autoSpaceDE/>
        <w:autoSpaceDN/>
        <w:bidi w:val="0"/>
        <w:adjustRightInd/>
        <w:snapToGrid/>
        <w:spacing w:line="360" w:lineRule="auto"/>
        <w:ind w:left="840" w:leftChars="400"/>
        <w:textAlignment w:val="auto"/>
        <w:rPr>
          <w:rFonts w:hint="eastAsia"/>
          <w:b w:val="0"/>
          <w:bCs w:val="0"/>
          <w:sz w:val="21"/>
          <w:szCs w:val="21"/>
          <w:lang w:val="en-US" w:eastAsia="zh-CN"/>
        </w:rPr>
      </w:pPr>
      <w:r>
        <w:rPr>
          <w:rFonts w:hint="eastAsia"/>
          <w:b w:val="0"/>
          <w:bCs w:val="0"/>
          <w:sz w:val="21"/>
          <w:szCs w:val="21"/>
          <w:lang w:val="en-US" w:eastAsia="zh-CN"/>
        </w:rPr>
        <w:t>2.8.7中水机房的日常巡视维护。</w:t>
      </w:r>
    </w:p>
    <w:p w14:paraId="34A961AA">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b w:val="0"/>
          <w:bCs w:val="0"/>
          <w:sz w:val="21"/>
          <w:szCs w:val="21"/>
          <w:lang w:val="en-US" w:eastAsia="zh-CN"/>
        </w:rPr>
      </w:pPr>
      <w:r>
        <w:rPr>
          <w:rFonts w:hint="eastAsia"/>
          <w:b w:val="0"/>
          <w:bCs w:val="0"/>
          <w:sz w:val="21"/>
          <w:szCs w:val="21"/>
          <w:lang w:val="en-US" w:eastAsia="zh-CN"/>
        </w:rPr>
        <w:t>2.9.其他服务内容：</w:t>
      </w:r>
    </w:p>
    <w:p w14:paraId="28B43C7E">
      <w:pPr>
        <w:keepNext w:val="0"/>
        <w:keepLines w:val="0"/>
        <w:pageBreakBefore w:val="0"/>
        <w:widowControl w:val="0"/>
        <w:kinsoku/>
        <w:wordWrap/>
        <w:overflowPunct/>
        <w:topLinePunct w:val="0"/>
        <w:autoSpaceDE/>
        <w:autoSpaceDN/>
        <w:bidi w:val="0"/>
        <w:adjustRightInd/>
        <w:snapToGrid/>
        <w:spacing w:line="360" w:lineRule="auto"/>
        <w:ind w:left="840" w:leftChars="400"/>
        <w:textAlignment w:val="auto"/>
        <w:rPr>
          <w:rFonts w:hint="eastAsia"/>
          <w:b w:val="0"/>
          <w:bCs w:val="0"/>
          <w:sz w:val="21"/>
          <w:szCs w:val="21"/>
          <w:lang w:val="en-US" w:eastAsia="zh-CN"/>
        </w:rPr>
      </w:pPr>
      <w:r>
        <w:rPr>
          <w:rFonts w:hint="eastAsia"/>
          <w:b w:val="0"/>
          <w:bCs w:val="0"/>
          <w:sz w:val="21"/>
          <w:szCs w:val="21"/>
          <w:lang w:val="en-US" w:eastAsia="zh-CN"/>
        </w:rPr>
        <w:t>2.9.1接待膳食系统软件维护</w:t>
      </w:r>
    </w:p>
    <w:p w14:paraId="3A63565E">
      <w:pPr>
        <w:keepNext w:val="0"/>
        <w:keepLines w:val="0"/>
        <w:pageBreakBefore w:val="0"/>
        <w:widowControl w:val="0"/>
        <w:kinsoku/>
        <w:wordWrap/>
        <w:overflowPunct/>
        <w:topLinePunct w:val="0"/>
        <w:autoSpaceDE/>
        <w:autoSpaceDN/>
        <w:bidi w:val="0"/>
        <w:adjustRightInd/>
        <w:snapToGrid/>
        <w:spacing w:line="360" w:lineRule="auto"/>
        <w:ind w:left="840" w:leftChars="400"/>
        <w:textAlignment w:val="auto"/>
        <w:rPr>
          <w:rFonts w:hint="eastAsia"/>
          <w:b w:val="0"/>
          <w:bCs w:val="0"/>
          <w:sz w:val="21"/>
          <w:szCs w:val="21"/>
          <w:lang w:val="en-US" w:eastAsia="zh-CN"/>
        </w:rPr>
      </w:pPr>
      <w:r>
        <w:rPr>
          <w:rFonts w:hint="eastAsia"/>
          <w:b w:val="0"/>
          <w:bCs w:val="0"/>
          <w:sz w:val="21"/>
          <w:szCs w:val="21"/>
          <w:lang w:val="en-US" w:eastAsia="zh-CN"/>
        </w:rPr>
        <w:t>2.9.2垃圾清运：根据院区内所产生的垃圾（含厨余垃圾）每日进行收集和及时清运，并做好清运记录，垃圾收集容器确保无破损、无满冒、无异味周边环境清洁卫生，按照《北京市可回收物知道目录》进行分类；协助采购人开展垃圾分类宣传活动。</w:t>
      </w:r>
    </w:p>
    <w:p w14:paraId="168F471D">
      <w:pPr>
        <w:keepNext w:val="0"/>
        <w:keepLines w:val="0"/>
        <w:pageBreakBefore w:val="0"/>
        <w:widowControl w:val="0"/>
        <w:kinsoku/>
        <w:wordWrap/>
        <w:overflowPunct/>
        <w:topLinePunct w:val="0"/>
        <w:autoSpaceDE/>
        <w:autoSpaceDN/>
        <w:bidi w:val="0"/>
        <w:adjustRightInd/>
        <w:snapToGrid/>
        <w:spacing w:line="360" w:lineRule="auto"/>
        <w:ind w:left="840" w:leftChars="400"/>
        <w:textAlignment w:val="auto"/>
        <w:rPr>
          <w:rFonts w:hint="eastAsia"/>
          <w:b w:val="0"/>
          <w:bCs w:val="0"/>
          <w:sz w:val="21"/>
          <w:szCs w:val="21"/>
          <w:lang w:val="en-US" w:eastAsia="zh-CN"/>
        </w:rPr>
      </w:pPr>
      <w:r>
        <w:rPr>
          <w:rFonts w:hint="eastAsia"/>
          <w:b w:val="0"/>
          <w:bCs w:val="0"/>
          <w:sz w:val="21"/>
          <w:szCs w:val="21"/>
          <w:lang w:val="en-US" w:eastAsia="zh-CN"/>
        </w:rPr>
        <w:t>2.9.3化粪池及隔油池清掏</w:t>
      </w:r>
    </w:p>
    <w:p w14:paraId="2AE74E9F">
      <w:pPr>
        <w:keepNext w:val="0"/>
        <w:keepLines w:val="0"/>
        <w:pageBreakBefore w:val="0"/>
        <w:widowControl w:val="0"/>
        <w:kinsoku/>
        <w:wordWrap/>
        <w:overflowPunct/>
        <w:topLinePunct w:val="0"/>
        <w:autoSpaceDE/>
        <w:autoSpaceDN/>
        <w:bidi w:val="0"/>
        <w:adjustRightInd/>
        <w:snapToGrid/>
        <w:spacing w:line="360" w:lineRule="auto"/>
        <w:ind w:left="840" w:leftChars="400"/>
        <w:textAlignment w:val="auto"/>
        <w:rPr>
          <w:rFonts w:hint="eastAsia"/>
          <w:b w:val="0"/>
          <w:bCs w:val="0"/>
          <w:sz w:val="21"/>
          <w:szCs w:val="21"/>
          <w:lang w:val="en-US" w:eastAsia="zh-CN"/>
        </w:rPr>
      </w:pPr>
      <w:r>
        <w:rPr>
          <w:rFonts w:hint="eastAsia"/>
          <w:b w:val="0"/>
          <w:bCs w:val="0"/>
          <w:sz w:val="21"/>
          <w:szCs w:val="21"/>
          <w:lang w:val="en-US" w:eastAsia="zh-CN"/>
        </w:rPr>
        <w:t>2.9.4有害生物防治：所有区域消杀蚊虫、灭鼠</w:t>
      </w:r>
    </w:p>
    <w:p w14:paraId="33EFE7B5">
      <w:pPr>
        <w:keepNext w:val="0"/>
        <w:keepLines w:val="0"/>
        <w:pageBreakBefore w:val="0"/>
        <w:widowControl w:val="0"/>
        <w:kinsoku/>
        <w:wordWrap/>
        <w:overflowPunct/>
        <w:topLinePunct w:val="0"/>
        <w:autoSpaceDE/>
        <w:autoSpaceDN/>
        <w:bidi w:val="0"/>
        <w:adjustRightInd/>
        <w:snapToGrid/>
        <w:spacing w:line="360" w:lineRule="auto"/>
        <w:ind w:left="840" w:leftChars="400"/>
        <w:textAlignment w:val="auto"/>
        <w:rPr>
          <w:rFonts w:hint="eastAsia"/>
          <w:b w:val="0"/>
          <w:bCs w:val="0"/>
          <w:sz w:val="21"/>
          <w:szCs w:val="21"/>
          <w:lang w:val="en-US" w:eastAsia="zh-CN"/>
        </w:rPr>
      </w:pPr>
      <w:r>
        <w:rPr>
          <w:rFonts w:hint="eastAsia"/>
          <w:b w:val="0"/>
          <w:bCs w:val="0"/>
          <w:sz w:val="21"/>
          <w:szCs w:val="21"/>
          <w:lang w:val="en-US" w:eastAsia="zh-CN"/>
        </w:rPr>
        <w:t>2.9.5绿化养护：应配有专业的绿化人员，确保院区的绿化植被生长正常，做好日常养护，绿化成活率达 99%，做到整齐美观,优先使用中水定期浇灌，及时喷洒农药,无病虫害等，重要活动接待任务场景布置工作；</w:t>
      </w:r>
    </w:p>
    <w:p w14:paraId="3B7F5244">
      <w:pPr>
        <w:keepNext w:val="0"/>
        <w:keepLines w:val="0"/>
        <w:pageBreakBefore w:val="0"/>
        <w:widowControl w:val="0"/>
        <w:kinsoku/>
        <w:wordWrap/>
        <w:overflowPunct/>
        <w:topLinePunct w:val="0"/>
        <w:autoSpaceDE/>
        <w:autoSpaceDN/>
        <w:bidi w:val="0"/>
        <w:adjustRightInd/>
        <w:snapToGrid/>
        <w:spacing w:line="360" w:lineRule="auto"/>
        <w:ind w:left="840" w:leftChars="400"/>
        <w:textAlignment w:val="auto"/>
        <w:rPr>
          <w:rFonts w:hint="eastAsia"/>
          <w:b w:val="0"/>
          <w:bCs w:val="0"/>
          <w:sz w:val="21"/>
          <w:szCs w:val="21"/>
          <w:lang w:val="en-US" w:eastAsia="zh-CN"/>
        </w:rPr>
      </w:pPr>
      <w:r>
        <w:rPr>
          <w:rFonts w:hint="eastAsia"/>
          <w:b w:val="0"/>
          <w:bCs w:val="0"/>
          <w:sz w:val="21"/>
          <w:szCs w:val="21"/>
          <w:lang w:val="en-US" w:eastAsia="zh-CN"/>
        </w:rPr>
        <w:t>2.9.6所有玻璃窗清洗最少一个季度擦洗一次</w:t>
      </w:r>
    </w:p>
    <w:p w14:paraId="5BBF1A2F">
      <w:pPr>
        <w:keepNext w:val="0"/>
        <w:keepLines w:val="0"/>
        <w:pageBreakBefore w:val="0"/>
        <w:widowControl w:val="0"/>
        <w:kinsoku/>
        <w:wordWrap/>
        <w:overflowPunct/>
        <w:topLinePunct w:val="0"/>
        <w:autoSpaceDE/>
        <w:autoSpaceDN/>
        <w:bidi w:val="0"/>
        <w:adjustRightInd/>
        <w:snapToGrid/>
        <w:spacing w:line="360" w:lineRule="auto"/>
        <w:ind w:left="840" w:leftChars="400"/>
        <w:textAlignment w:val="auto"/>
        <w:rPr>
          <w:rFonts w:hint="eastAsia"/>
          <w:b w:val="0"/>
          <w:bCs w:val="0"/>
          <w:sz w:val="21"/>
          <w:szCs w:val="21"/>
          <w:lang w:val="en-US" w:eastAsia="zh-CN"/>
        </w:rPr>
      </w:pPr>
      <w:r>
        <w:rPr>
          <w:rFonts w:hint="eastAsia"/>
          <w:b w:val="0"/>
          <w:bCs w:val="0"/>
          <w:sz w:val="21"/>
          <w:szCs w:val="21"/>
          <w:lang w:val="en-US" w:eastAsia="zh-CN"/>
        </w:rPr>
        <w:t>2.9.7公共区域消毒</w:t>
      </w:r>
    </w:p>
    <w:p w14:paraId="602A10EF">
      <w:pPr>
        <w:keepNext w:val="0"/>
        <w:keepLines w:val="0"/>
        <w:pageBreakBefore w:val="0"/>
        <w:widowControl w:val="0"/>
        <w:kinsoku/>
        <w:wordWrap/>
        <w:overflowPunct/>
        <w:topLinePunct w:val="0"/>
        <w:autoSpaceDE/>
        <w:autoSpaceDN/>
        <w:bidi w:val="0"/>
        <w:adjustRightInd/>
        <w:snapToGrid/>
        <w:spacing w:line="360" w:lineRule="auto"/>
        <w:ind w:left="840" w:leftChars="400"/>
        <w:textAlignment w:val="auto"/>
        <w:rPr>
          <w:rFonts w:hint="eastAsia"/>
          <w:b w:val="0"/>
          <w:bCs w:val="0"/>
          <w:sz w:val="21"/>
          <w:szCs w:val="21"/>
          <w:lang w:val="en-US" w:eastAsia="zh-CN"/>
        </w:rPr>
      </w:pPr>
      <w:r>
        <w:rPr>
          <w:rFonts w:hint="eastAsia"/>
          <w:b w:val="0"/>
          <w:bCs w:val="0"/>
          <w:sz w:val="21"/>
          <w:szCs w:val="21"/>
          <w:lang w:val="en-US" w:eastAsia="zh-CN"/>
        </w:rPr>
        <w:t>2.9.8采购人设备设施维修维护由投标人负责，如设备设施系统核心部件损坏，经厂家或权威部门鉴定，属于无维修价值的，由采购人进行设备更换处理，其它所有项目及维修费用全部由物业公司承担。</w:t>
      </w:r>
    </w:p>
    <w:p w14:paraId="00F07E08">
      <w:pPr>
        <w:keepNext w:val="0"/>
        <w:keepLines w:val="0"/>
        <w:pageBreakBefore w:val="0"/>
        <w:widowControl w:val="0"/>
        <w:kinsoku/>
        <w:wordWrap/>
        <w:overflowPunct/>
        <w:topLinePunct w:val="0"/>
        <w:autoSpaceDE/>
        <w:autoSpaceDN/>
        <w:bidi w:val="0"/>
        <w:adjustRightInd/>
        <w:snapToGrid/>
        <w:spacing w:line="360" w:lineRule="auto"/>
        <w:ind w:left="840" w:leftChars="400"/>
        <w:textAlignment w:val="auto"/>
        <w:rPr>
          <w:rFonts w:hint="eastAsia"/>
          <w:b w:val="0"/>
          <w:bCs w:val="0"/>
          <w:sz w:val="21"/>
          <w:szCs w:val="21"/>
          <w:lang w:val="en-US" w:eastAsia="zh-CN"/>
        </w:rPr>
      </w:pPr>
      <w:r>
        <w:rPr>
          <w:rFonts w:hint="eastAsia"/>
          <w:b w:val="0"/>
          <w:bCs w:val="0"/>
          <w:sz w:val="21"/>
          <w:szCs w:val="21"/>
          <w:lang w:val="en-US" w:eastAsia="zh-CN"/>
        </w:rPr>
        <w:t>2.9.9配合采购人做好应急预案及突发事件的快速处理</w:t>
      </w:r>
    </w:p>
    <w:p w14:paraId="4C032067">
      <w:pPr>
        <w:keepNext w:val="0"/>
        <w:keepLines w:val="0"/>
        <w:autoSpaceDE/>
        <w:autoSpaceDN/>
        <w:adjustRightInd/>
        <w:spacing w:line="360" w:lineRule="auto"/>
        <w:ind w:left="840" w:leftChars="400"/>
        <w:rPr>
          <w:rFonts w:hint="eastAsia" w:ascii="宋体" w:hAnsi="宋体" w:cs="宋体"/>
          <w:bCs/>
          <w:sz w:val="21"/>
          <w:szCs w:val="21"/>
          <w:lang w:eastAsia="zh-CN"/>
        </w:rPr>
      </w:pPr>
      <w:r>
        <w:rPr>
          <w:rFonts w:hint="eastAsia" w:ascii="Times New Roman" w:hAnsi="Times New Roman" w:eastAsia="宋体" w:cs="Times New Roman"/>
          <w:b w:val="0"/>
          <w:bCs w:val="0"/>
          <w:sz w:val="21"/>
          <w:szCs w:val="21"/>
          <w:lang w:val="en-US" w:eastAsia="zh-CN"/>
        </w:rPr>
        <w:t>2.9.10</w:t>
      </w:r>
      <w:r>
        <w:rPr>
          <w:rFonts w:hint="eastAsia"/>
          <w:b w:val="0"/>
          <w:bCs w:val="0"/>
          <w:sz w:val="21"/>
          <w:szCs w:val="21"/>
          <w:lang w:val="en-US" w:eastAsia="zh-CN"/>
        </w:rPr>
        <w:t>协助采购人完成节约能源资源工作：对院内水、电能耗节约把控，维修物料的合理使用、生活垃圾分类等与采购人沟通协作，协助采购人完成节约能源资源任务</w:t>
      </w:r>
      <w:r>
        <w:rPr>
          <w:rFonts w:hint="eastAsia" w:ascii="宋体" w:hAnsi="宋体" w:cs="宋体"/>
          <w:bCs/>
          <w:sz w:val="21"/>
          <w:szCs w:val="21"/>
          <w:lang w:eastAsia="zh-CN"/>
        </w:rPr>
        <w:t>。</w:t>
      </w:r>
    </w:p>
    <w:p w14:paraId="44A46EC6">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2.9.10.1基础工作</w:t>
      </w:r>
    </w:p>
    <w:p w14:paraId="1E04D1D7">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中标人应明确节能管理岗位和职责，由具备相关专业能力的人员开展节约能源资源工作。与采购人紧密沟通协作，建立节能管理制度，明确责任分工、操作规程和奖惩措施。</w:t>
      </w:r>
    </w:p>
    <w:p w14:paraId="628A777F">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2.9.10.2节能管理</w:t>
      </w:r>
    </w:p>
    <w:p w14:paraId="6FCB68B1">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(1)基本要求</w:t>
      </w:r>
    </w:p>
    <w:p w14:paraId="4CE4AFC6">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中标人应协助采购人规范配置节能设备设施，采用符合国家节能标准的灯具、电器等，定期对用能设备进行能耗监测 和维护管理。熟悉管理区域能源消耗热点(照明、暖通、电梯、办公 设备、数据中心、厨房等)、设备效率、建筑围护结构情况等；定期检 查维护建筑围护结构及门窗，及时修复破损、渗漏部位，减少冷热 空气渗透；协助采购人在公共区域张贴节能宣传海报、标识，开展 节能宣传活动。</w:t>
      </w:r>
    </w:p>
    <w:p w14:paraId="73B13FBF">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(2)照明用能</w:t>
      </w:r>
    </w:p>
    <w:p w14:paraId="548E27C5">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中标人应加强照明巡查、及时检查灯况，根据不同季 节、不同天气条件下自然光照特点和不同时段的照度需求，协助采 购人优化门厅、走廊、通道等公共区域照明方案，杜绝“白昼灯”;会 议室、餐厅等公共区域使用结束后关闭照明，杜绝“长明灯”;如无采购人或相关部门明确要求，平时不开启景观照明，室外区域只开 启必要的台阶和路面照明。</w:t>
      </w:r>
    </w:p>
    <w:p w14:paraId="4ED15E4A">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(3)暖通用能</w:t>
      </w:r>
    </w:p>
    <w:p w14:paraId="57284663">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中标人应按照夏季室内空调温度设置不低于26摄 氏度、冬季室内空调温度设置不高于20摄氏度的空调温度控制标 准设定会议室、餐厅、走廊等室内场所空调温度；除有特殊要求外，会议室、餐厅等公共区域仅在使用期间开启空调，开启空调时应当关闭外门和外窗。</w:t>
      </w:r>
    </w:p>
    <w:p w14:paraId="3E75D8E0">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(4)其他用能</w:t>
      </w:r>
    </w:p>
    <w:p w14:paraId="4453FDA5">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中标人应根据采购人要求，在满足使用需求的前提下，精细化管理电梯、公共区域打印机、复印机等设施设备自助休眠、关闭时间；新风系统、电开水器等用能设备要根据不同场所、工作日和休息日、昼间和夜间等因素个性化设置使用时段；燃气灶加工期间充分利用灶火，用毕及时关气，经常对灶具等设施设备进行维护保养，提高燃气利用效率。</w:t>
      </w:r>
    </w:p>
    <w:p w14:paraId="60931CC0">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(5)用能统计和分析</w:t>
      </w:r>
    </w:p>
    <w:p w14:paraId="0F2D4DB0">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中标人应协助采购人统计能耗数据，定期对用能状况进行分析，开展用能诊断，挖掘节能潜力，提高能源利用效率，确保达到所属行业能耗定额标准，规范合理用能，对于超过定额的，应及时排查原因，并配合采购人整改。</w:t>
      </w:r>
    </w:p>
    <w:p w14:paraId="712C8E86">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2.9.10.3节水管理</w:t>
      </w:r>
    </w:p>
    <w:p w14:paraId="48952D83">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(1)基本要求</w:t>
      </w:r>
    </w:p>
    <w:p w14:paraId="63140998">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中标人应协助采购人采用节水器具，新购置用水器具要达到2级以上水效标准，对不符合节水器具水效标准的，协助采购人有序更换或改造；定期检查供水管网，及时修复漏点，减少水资源浪费；张贴节水宣传海报、标识，协助采购人开展节水宣传活动 。</w:t>
      </w:r>
    </w:p>
    <w:p w14:paraId="7E80927D">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(2)会议活动用水</w:t>
      </w:r>
    </w:p>
    <w:p w14:paraId="72A459A6">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中标人应根据会议活动的人数和时间，合理估算会务服务热水用量，按需供水，减少“半壶水”“半杯水”浪费。不主动提供瓶装水，确需瓶装水的，优先提供小瓶水，并提示带走未喝完的半瓶水。</w:t>
      </w:r>
    </w:p>
    <w:p w14:paraId="4C2E2701">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(3)食堂用水</w:t>
      </w:r>
    </w:p>
    <w:p w14:paraId="7C749C01">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中标人管理的食堂应推广“先摘后洗”,先摘拣、削 皮，再进行清洗，解冻肉类应自然解冻、低温解冻或浸泡解冻，不用长流水解冻；清洗餐具、清洗锅灶完毕及时关闭水龙头，防止 “长流水”。</w:t>
      </w:r>
    </w:p>
    <w:p w14:paraId="676B881C">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(4)绿化景观用水</w:t>
      </w:r>
    </w:p>
    <w:p w14:paraId="249D6746">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中标人或成交人应根据植被种类、季节、气温、降水情况按需 浇灌，杜绝大水漫灌，灌溉优先使用雨水或中水，采用喷灌、滴灌等 节水灌溉方式，使用土壤温湿度传感器或根据天气情况调整灌溉 计划，加强浇灌值守，防止过度浇灌和溢水；景观用水应优先采用 雨水或中水，并循环利用。</w:t>
      </w:r>
    </w:p>
    <w:p w14:paraId="71AD9CA5">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(5)保洁用水</w:t>
      </w:r>
    </w:p>
    <w:p w14:paraId="48BC750D">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中标人应协助采购人在开水间设置尾水和剩水回收装置，用尾水和剩水清洗抹布拖把，取用水应根据保洁任务按需适 量，避免造成浪费。</w:t>
      </w:r>
    </w:p>
    <w:p w14:paraId="2D302965">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(6)其他用水</w:t>
      </w:r>
    </w:p>
    <w:p w14:paraId="6A672780">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中标人应协助采购人在卫生间、开水间、食堂等区域 使用感应式水龙头，冲厕优先使用中水；淋浴间采用节水型混水器、节水型花洒；对空调冷凝水进行收集和利用。</w:t>
      </w:r>
    </w:p>
    <w:p w14:paraId="73452CC6">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(7)用水统计和分析</w:t>
      </w:r>
    </w:p>
    <w:p w14:paraId="15925A10">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中标人应协助采购人规范统计用水数据，对次级用 水单位(功能区域)和主要用水设备(用水系统)分别计量，定期对 用水状况进行分析；协助专业机构定期开展水平衡测试，定期开展 用水巡查，挖掘节水潜力，提高用水效率，确保达到所属行业用水 定额标准及属地水管理部门下达的用水指标，规范合理用水，对于 超过定额指标的，应及时排查原因，并配合采购人整改。</w:t>
      </w:r>
    </w:p>
    <w:p w14:paraId="4E73D365">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2.9.10.4反食品浪费</w:t>
      </w:r>
    </w:p>
    <w:p w14:paraId="27F3FBC0">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(1)基本要求</w:t>
      </w:r>
    </w:p>
    <w:p w14:paraId="19449777">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中标人应明确反食品浪费岗位和人员，协助采购人开展反食品浪费工作；应制定明确的反食品浪费管理目标和 服务要求；定期监测食品浪费情况，开展自查，针对发现的问题及时整改。</w:t>
      </w:r>
    </w:p>
    <w:p w14:paraId="3D597A04">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(2)备餐和制餐</w:t>
      </w:r>
    </w:p>
    <w:p w14:paraId="1AF7DDA0">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中标人应协助采购人根据营养均衡原则和膳食指南，科学制定食谱；实施用餐人数餐前统计或测算，根据就餐人数 合理安排食品数量。应充分利用食材，提高食材利用率，做好边角 料的再加工利用，推广“一料多用”,不使用食品装饰菜品；应分批错时，合理规划出菜时间，推行集中准备、按需分次制餐。</w:t>
      </w:r>
    </w:p>
    <w:p w14:paraId="3C45467D">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(3)供餐和用餐</w:t>
      </w:r>
    </w:p>
    <w:p w14:paraId="30A84E91">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中标人应协助采购人结合实际情况，合理设置自 助、自选、称重计费等供餐方式；非自助供餐方式应提供半份、小 份的菜品和主食；菜品应标明口味、主要原材料、辅料、主要营养素等信息；设立“光盘监督岗”,提示提醒适量取餐，监督、劝阻食 品浪费行为。</w:t>
      </w:r>
    </w:p>
    <w:p w14:paraId="3CD5CA0F">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(4)餐后</w:t>
      </w:r>
    </w:p>
    <w:p w14:paraId="034E5758">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中标人应协助采购人开展用餐满意度调查，建立菜 品质量和口味反馈渠道；定期对菜品剩余情况进行统计分析，明确 需要调整的菜品及原因；在餐盘回收处等关键点位安装视频监控 设备，对食品浪费行为进行监督；根据食品安全相关规定妥善保管 未食用食品，并合理再利用。</w:t>
      </w:r>
    </w:p>
    <w:p w14:paraId="4347B76C">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(5)反食品浪费宣传与培训</w:t>
      </w:r>
    </w:p>
    <w:p w14:paraId="3B5DF033">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中标人应协助采购人开展反食品浪费宣传活动，不 断创新宣传形式，营造“浪费可耻、节约为荣”的氛围；应协助采购 人在世界粮食日等时间节点开展集中宣传活动，向干部职工普及 反食品浪费法律、制度、知识等；应在食堂入口、制餐区、取餐区、用 餐区、餐盘回收区等区域张贴反食品浪费宣传海报，摆放提示牌； 应定期对机关食堂工作人员开展反食品浪费培训，熟练掌握节约 食品的方式方法，提升反食品浪费的意识和能力。</w:t>
      </w:r>
    </w:p>
    <w:p w14:paraId="40507D68">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2.9.10.5生活垃圾分类</w:t>
      </w:r>
    </w:p>
    <w:p w14:paraId="248F1EF8">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(1)基本要求</w:t>
      </w:r>
    </w:p>
    <w:p w14:paraId="0FF79E63">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中标人应协助采购人按照厨余垃圾、可回收物、有 害垃圾、其他垃圾的“四分类”法，结合办公区域、公共区域、食堂 区域等不同场所，科学合理确定各类生活垃圾收集容器的数量 和位置，分类标志要求颜色、标识正确，分类投放指引要及时更 新、张贴规范。</w:t>
      </w:r>
    </w:p>
    <w:p w14:paraId="2639575C">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(2)生活垃圾分类收集</w:t>
      </w:r>
    </w:p>
    <w:p w14:paraId="297B91D9">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中标人应协助采购人加强收集容器日常维护管理， 确保无破损、无满冒、无异味，周边环境清洁卫生，收集容器出现破 旧、污损或者数量不足的，及时维修、更换、清洗或者补设；对可回收物实行定期定点收集，确保各类可回收物分类收集、分类暂存；在严格“四分类”基础上，细化可回收物种类，按照《北京市可回收 物指导目录》,分类收集纸类、塑料、金属、玻璃、织物等，做到可回收物应收尽收，全部进入资源循环体系；应对厨余垃圾进行固液分 离和油水分离，特别要杜绝厨余垃圾与其他垃圾的混投混放；及时 制止翻拣、混合已分类生活垃圾的行为。</w:t>
      </w:r>
    </w:p>
    <w:p w14:paraId="4A43CAD3">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(3)生活垃圾分类运输</w:t>
      </w:r>
    </w:p>
    <w:p w14:paraId="3C0D0051">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中标人应协助采购人将分类后的生活垃圾交由有相 应资质的单位进行分类运输；确保各类生活垃圾分类投放、分类收 集、分类运输，建立完整的清运记录和台账数据，实现全过程溯源管理；厨余垃圾实行专人、专车、专线收运，做到“日产日清”;严禁 混收混运，避免不同类型垃圾的交叉污染。</w:t>
      </w:r>
    </w:p>
    <w:p w14:paraId="649774D1">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(4)生活垃圾分类宣传与培训</w:t>
      </w:r>
    </w:p>
    <w:p w14:paraId="56AA4C41">
      <w:pPr>
        <w:keepNext w:val="0"/>
        <w:keepLines w:val="0"/>
        <w:autoSpaceDE/>
        <w:autoSpaceDN/>
        <w:adjustRightInd/>
        <w:spacing w:line="360" w:lineRule="auto"/>
        <w:ind w:left="840" w:leftChars="40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中标人应协助采购人开展生活垃圾分类宣传活动， 通过张贴海报、发放宣传手册、组织培训讲座等方式，提高职工对生活垃圾分类的知晓率和参与度。定期组织相关工作人员开展垃圾分类培训，更新垃圾分类专业知识，加强实操指导。</w:t>
      </w:r>
    </w:p>
    <w:p w14:paraId="4F7CE02B">
      <w:pPr>
        <w:keepNext w:val="0"/>
        <w:keepLines w:val="0"/>
        <w:autoSpaceDE/>
        <w:autoSpaceDN/>
        <w:adjustRightInd/>
        <w:spacing w:line="360" w:lineRule="auto"/>
        <w:ind w:left="840" w:leftChars="400"/>
        <w:rPr>
          <w:rFonts w:hint="eastAsia" w:ascii="Times New Roman" w:hAnsi="Times New Roman" w:eastAsia="宋体" w:cs="Times New Roman"/>
          <w:szCs w:val="21"/>
          <w:lang w:val="en-US" w:eastAsia="zh-CN"/>
        </w:rPr>
      </w:pPr>
    </w:p>
    <w:p w14:paraId="2C56880B">
      <w:pPr>
        <w:pStyle w:val="2"/>
        <w:rPr>
          <w:rFonts w:hint="eastAsia"/>
          <w:lang w:val="en-US" w:eastAsia="zh-CN"/>
        </w:rPr>
      </w:pPr>
    </w:p>
    <w:p w14:paraId="57DAF8EA">
      <w:pPr>
        <w:pStyle w:val="2"/>
        <w:rPr>
          <w:rFonts w:hint="eastAsia"/>
          <w:lang w:val="en-US" w:eastAsia="zh-CN"/>
        </w:rPr>
        <w:sectPr>
          <w:pgSz w:w="11906" w:h="16838" w:orient="landscape"/>
          <w:pgMar w:top="1440" w:right="1800" w:bottom="1440" w:left="1800" w:header="851" w:footer="992" w:gutter="0"/>
          <w:pgBorders>
            <w:top w:val="none" w:sz="0" w:space="0"/>
            <w:left w:val="none" w:sz="0" w:space="0"/>
            <w:bottom w:val="none" w:sz="0" w:space="0"/>
            <w:right w:val="none" w:sz="0" w:space="0"/>
          </w:pgBorders>
          <w:cols w:space="425" w:num="1"/>
        </w:sectPr>
      </w:pPr>
    </w:p>
    <w:p w14:paraId="30898930">
      <w:pPr>
        <w:keepNext w:val="0"/>
        <w:keepLines w:val="0"/>
        <w:pageBreakBefore w:val="0"/>
        <w:widowControl w:val="0"/>
        <w:kinsoku/>
        <w:wordWrap/>
        <w:overflowPunct/>
        <w:topLinePunct w:val="0"/>
        <w:autoSpaceDE/>
        <w:autoSpaceDN/>
        <w:bidi w:val="0"/>
        <w:adjustRightInd/>
        <w:snapToGrid/>
        <w:spacing w:line="360" w:lineRule="auto"/>
        <w:ind w:left="840" w:leftChars="400"/>
        <w:textAlignment w:val="auto"/>
        <w:rPr>
          <w:rFonts w:hint="eastAsia"/>
          <w:b w:val="0"/>
          <w:bCs w:val="0"/>
          <w:sz w:val="21"/>
          <w:szCs w:val="21"/>
          <w:lang w:val="en-US" w:eastAsia="zh-CN"/>
        </w:rPr>
      </w:pPr>
    </w:p>
    <w:p w14:paraId="76FD3905">
      <w:pPr>
        <w:keepNext w:val="0"/>
        <w:keepLines w:val="0"/>
        <w:pageBreakBefore w:val="0"/>
        <w:widowControl w:val="0"/>
        <w:kinsoku/>
        <w:wordWrap/>
        <w:overflowPunct/>
        <w:topLinePunct w:val="0"/>
        <w:autoSpaceDE/>
        <w:autoSpaceDN/>
        <w:bidi w:val="0"/>
        <w:snapToGrid w:val="0"/>
        <w:spacing w:line="360" w:lineRule="auto"/>
        <w:rPr>
          <w:rFonts w:hint="eastAsia"/>
          <w:b/>
          <w:bCs/>
          <w:sz w:val="21"/>
          <w:szCs w:val="21"/>
          <w:lang w:val="en-US" w:eastAsia="zh-CN"/>
        </w:rPr>
      </w:pPr>
      <w:r>
        <w:rPr>
          <w:rFonts w:hint="eastAsia"/>
          <w:b/>
          <w:bCs/>
          <w:sz w:val="21"/>
          <w:szCs w:val="21"/>
          <w:lang w:val="en-US" w:eastAsia="zh-CN"/>
        </w:rPr>
        <w:t>3.工作量清单</w:t>
      </w:r>
    </w:p>
    <w:tbl>
      <w:tblPr>
        <w:tblStyle w:val="3"/>
        <w:tblW w:w="98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1"/>
        <w:gridCol w:w="1485"/>
        <w:gridCol w:w="6712"/>
        <w:gridCol w:w="1196"/>
      </w:tblGrid>
      <w:tr w14:paraId="13E50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461" w:type="dxa"/>
            <w:tcBorders>
              <w:tl2br w:val="nil"/>
              <w:tr2bl w:val="nil"/>
            </w:tcBorders>
            <w:noWrap w:val="0"/>
            <w:vAlign w:val="center"/>
          </w:tcPr>
          <w:p w14:paraId="7152A67A">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b/>
                <w:color w:val="000000"/>
                <w:sz w:val="21"/>
                <w:szCs w:val="21"/>
              </w:rPr>
            </w:pPr>
            <w:r>
              <w:rPr>
                <w:rFonts w:hint="eastAsia" w:ascii="宋体" w:hAnsi="宋体"/>
                <w:b/>
                <w:color w:val="000000"/>
                <w:sz w:val="21"/>
                <w:szCs w:val="21"/>
              </w:rPr>
              <w:t>序号</w:t>
            </w:r>
          </w:p>
        </w:tc>
        <w:tc>
          <w:tcPr>
            <w:tcW w:w="1485" w:type="dxa"/>
            <w:tcBorders>
              <w:tl2br w:val="nil"/>
              <w:tr2bl w:val="nil"/>
            </w:tcBorders>
            <w:noWrap w:val="0"/>
            <w:vAlign w:val="center"/>
          </w:tcPr>
          <w:p w14:paraId="72FFE229">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b/>
                <w:color w:val="000000"/>
                <w:sz w:val="21"/>
                <w:szCs w:val="21"/>
              </w:rPr>
            </w:pPr>
            <w:r>
              <w:rPr>
                <w:rFonts w:hint="eastAsia" w:ascii="宋体" w:hAnsi="宋体"/>
                <w:b/>
                <w:color w:val="000000"/>
                <w:sz w:val="21"/>
                <w:szCs w:val="21"/>
              </w:rPr>
              <w:t>项目构成名称</w:t>
            </w:r>
          </w:p>
        </w:tc>
        <w:tc>
          <w:tcPr>
            <w:tcW w:w="6712" w:type="dxa"/>
            <w:tcBorders>
              <w:tl2br w:val="nil"/>
              <w:tr2bl w:val="nil"/>
            </w:tcBorders>
            <w:noWrap w:val="0"/>
            <w:vAlign w:val="center"/>
          </w:tcPr>
          <w:p w14:paraId="1DE16A25">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b/>
                <w:color w:val="000000"/>
                <w:sz w:val="21"/>
                <w:szCs w:val="21"/>
              </w:rPr>
            </w:pPr>
            <w:r>
              <w:rPr>
                <w:rFonts w:hint="eastAsia" w:ascii="宋体" w:hAnsi="宋体"/>
                <w:b/>
                <w:color w:val="000000"/>
                <w:sz w:val="21"/>
                <w:szCs w:val="21"/>
              </w:rPr>
              <w:t>工作时间、工作区域和工作内容</w:t>
            </w:r>
          </w:p>
        </w:tc>
        <w:tc>
          <w:tcPr>
            <w:tcW w:w="1196" w:type="dxa"/>
            <w:tcBorders>
              <w:tl2br w:val="nil"/>
              <w:tr2bl w:val="nil"/>
            </w:tcBorders>
            <w:noWrap w:val="0"/>
            <w:vAlign w:val="center"/>
          </w:tcPr>
          <w:p w14:paraId="0A178D76">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b/>
                <w:color w:val="000000"/>
                <w:sz w:val="21"/>
                <w:szCs w:val="21"/>
              </w:rPr>
            </w:pPr>
            <w:r>
              <w:rPr>
                <w:rFonts w:hint="eastAsia" w:ascii="宋体" w:hAnsi="宋体"/>
                <w:b/>
                <w:color w:val="000000"/>
                <w:sz w:val="21"/>
                <w:szCs w:val="21"/>
              </w:rPr>
              <w:t>服务期限内工作量</w:t>
            </w:r>
          </w:p>
          <w:p w14:paraId="7299E1F2">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b/>
                <w:color w:val="000000"/>
                <w:sz w:val="21"/>
                <w:szCs w:val="21"/>
              </w:rPr>
            </w:pPr>
            <w:r>
              <w:rPr>
                <w:rFonts w:hint="eastAsia" w:ascii="宋体" w:hAnsi="宋体"/>
                <w:b/>
                <w:color w:val="000000"/>
                <w:sz w:val="21"/>
                <w:szCs w:val="21"/>
              </w:rPr>
              <w:t>（单位：人·天）</w:t>
            </w:r>
          </w:p>
        </w:tc>
      </w:tr>
      <w:tr w14:paraId="21276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dxa"/>
            <w:tcBorders>
              <w:tl2br w:val="nil"/>
              <w:tr2bl w:val="nil"/>
            </w:tcBorders>
            <w:noWrap w:val="0"/>
            <w:vAlign w:val="center"/>
          </w:tcPr>
          <w:p w14:paraId="395633AB">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1</w:t>
            </w:r>
          </w:p>
        </w:tc>
        <w:tc>
          <w:tcPr>
            <w:tcW w:w="1485" w:type="dxa"/>
            <w:tcBorders>
              <w:tl2br w:val="nil"/>
              <w:tr2bl w:val="nil"/>
            </w:tcBorders>
            <w:noWrap w:val="0"/>
            <w:vAlign w:val="center"/>
          </w:tcPr>
          <w:p w14:paraId="22C28843">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项目管理服务</w:t>
            </w:r>
          </w:p>
        </w:tc>
        <w:tc>
          <w:tcPr>
            <w:tcW w:w="6712" w:type="dxa"/>
            <w:tcBorders>
              <w:tl2br w:val="nil"/>
              <w:tr2bl w:val="nil"/>
            </w:tcBorders>
            <w:noWrap w:val="0"/>
            <w:vAlign w:val="center"/>
          </w:tcPr>
          <w:p w14:paraId="2D56EFB5">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1.工作日8小时工作制，工作时间早8：00-晚17:00</w:t>
            </w:r>
          </w:p>
          <w:p w14:paraId="62BE27DE">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2.主要工作：（1）统筹整体项目，确保项目进度和质量，每日协助采购人各科室对重要岗位巡查，做好防汛、防火、防盗等安全管理工作。节前安全排查，车棚电动车充电、宿舍安全用电，定期检查各个重点环节，发现问题及时处理；（2）协助采购人开展节约能源资源工作，对院内水、电能耗节约把控，维修物料的合理使用、生活垃圾分类等与采购人沟通协作；（3）根据院区实际情况，在重大活动、重要节点期间加大安全巡视巡察力度，及时消除安全隐患，配合采购人做好救灾、抢险等善后工作，保障院区安全生产工作。</w:t>
            </w:r>
          </w:p>
        </w:tc>
        <w:tc>
          <w:tcPr>
            <w:tcW w:w="1196" w:type="dxa"/>
            <w:tcBorders>
              <w:tl2br w:val="nil"/>
              <w:tr2bl w:val="nil"/>
            </w:tcBorders>
            <w:noWrap w:val="0"/>
            <w:vAlign w:val="center"/>
          </w:tcPr>
          <w:p w14:paraId="585BFEAB">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179</w:t>
            </w:r>
          </w:p>
        </w:tc>
      </w:tr>
      <w:tr w14:paraId="3804B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dxa"/>
            <w:tcBorders>
              <w:tl2br w:val="nil"/>
              <w:tr2bl w:val="nil"/>
            </w:tcBorders>
            <w:noWrap w:val="0"/>
            <w:vAlign w:val="center"/>
          </w:tcPr>
          <w:p w14:paraId="1CC5A69C">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2</w:t>
            </w:r>
          </w:p>
        </w:tc>
        <w:tc>
          <w:tcPr>
            <w:tcW w:w="1485" w:type="dxa"/>
            <w:tcBorders>
              <w:tl2br w:val="nil"/>
              <w:tr2bl w:val="nil"/>
            </w:tcBorders>
            <w:noWrap w:val="0"/>
            <w:vAlign w:val="center"/>
          </w:tcPr>
          <w:p w14:paraId="6CF89F96">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清洁服务</w:t>
            </w:r>
          </w:p>
        </w:tc>
        <w:tc>
          <w:tcPr>
            <w:tcW w:w="6712" w:type="dxa"/>
            <w:tcBorders>
              <w:tl2br w:val="nil"/>
              <w:tr2bl w:val="nil"/>
            </w:tcBorders>
            <w:noWrap w:val="0"/>
            <w:vAlign w:val="center"/>
          </w:tcPr>
          <w:p w14:paraId="68F77928">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1．365天8小时工作制，工作时间早8：00-晚17:00。</w:t>
            </w:r>
          </w:p>
          <w:p w14:paraId="3FFD3139">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2. 工作内容：</w:t>
            </w:r>
          </w:p>
          <w:p w14:paraId="5D61B9B6">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综合办公楼B1-6层公共区域清洁服务（1）楼道1545平方米；（2）楼梯间480平方米；（3）卫生间5套，淋浴室1套；（4）会议室8个543平方（5）心理减压室1间60平方米；（6）办公室15间500平方米；（7）3层、4层连廊面积约600平方米；（8）备勤厅1个432平方米；（9）派出所1-3层公共区域及卫生间，淋浴间；（10）值班室5间180平方米；（11）党员之家300平方米。</w:t>
            </w:r>
          </w:p>
          <w:p w14:paraId="0740DDD4">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1号楼部分区域保洁服务：（1）1层贵宾室，面积约100平方米；（2）1层公共卫生间1套（3）7层多功能厅1个398平方米；（4）7层小会议室，面积约50平方米；（5）7层卫生间1套，淋浴室1套量。</w:t>
            </w:r>
          </w:p>
          <w:p w14:paraId="39D3FEEB">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3号楼部分区域清洁服务：4层及5层东区公共区域如楼道、楼梯间和公共卫生间3套，面积约500平方米。</w:t>
            </w:r>
          </w:p>
          <w:p w14:paraId="306F4C0D">
            <w:pPr>
              <w:keepNext w:val="0"/>
              <w:keepLines w:val="0"/>
              <w:pageBreakBefore w:val="0"/>
              <w:widowControl w:val="0"/>
              <w:kinsoku/>
              <w:wordWrap/>
              <w:overflowPunct/>
              <w:topLinePunct w:val="0"/>
              <w:autoSpaceDE/>
              <w:autoSpaceDN/>
              <w:bidi w:val="0"/>
              <w:snapToGrid w:val="0"/>
              <w:spacing w:beforeLines="0" w:afterLines="0" w:line="360" w:lineRule="auto"/>
              <w:jc w:val="left"/>
              <w:rPr>
                <w:rFonts w:hint="eastAsia" w:ascii="宋体" w:hAnsi="宋体" w:eastAsia="宋体"/>
                <w:color w:val="000000"/>
                <w:sz w:val="21"/>
                <w:szCs w:val="21"/>
              </w:rPr>
            </w:pPr>
            <w:r>
              <w:rPr>
                <w:rFonts w:hint="eastAsia" w:ascii="宋体" w:hAnsi="宋体" w:eastAsia="宋体"/>
                <w:color w:val="000000"/>
                <w:sz w:val="21"/>
                <w:szCs w:val="21"/>
              </w:rPr>
              <w:t xml:space="preserve">    其他区域清洁服务（1）院区地上公共区域保洁服务7850平方米；（2）地下车库公共区域保洁服务4610平方米；所有区域地下一层至一层的消防通道；（3）门前道路保洁服务区保洁服务3600平方米。</w:t>
            </w:r>
          </w:p>
        </w:tc>
        <w:tc>
          <w:tcPr>
            <w:tcW w:w="1196" w:type="dxa"/>
            <w:tcBorders>
              <w:tl2br w:val="nil"/>
              <w:tr2bl w:val="nil"/>
            </w:tcBorders>
            <w:noWrap w:val="0"/>
            <w:vAlign w:val="center"/>
          </w:tcPr>
          <w:p w14:paraId="3A6BA31B">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1138</w:t>
            </w:r>
          </w:p>
        </w:tc>
      </w:tr>
      <w:tr w14:paraId="132E2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dxa"/>
            <w:tcBorders>
              <w:tl2br w:val="nil"/>
              <w:tr2bl w:val="nil"/>
            </w:tcBorders>
            <w:noWrap w:val="0"/>
            <w:vAlign w:val="center"/>
          </w:tcPr>
          <w:p w14:paraId="78C1C181">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p>
        </w:tc>
        <w:tc>
          <w:tcPr>
            <w:tcW w:w="1485" w:type="dxa"/>
            <w:tcBorders>
              <w:tl2br w:val="nil"/>
              <w:tr2bl w:val="nil"/>
            </w:tcBorders>
            <w:noWrap w:val="0"/>
            <w:vAlign w:val="center"/>
          </w:tcPr>
          <w:p w14:paraId="47C22BA4">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p>
        </w:tc>
        <w:tc>
          <w:tcPr>
            <w:tcW w:w="6712" w:type="dxa"/>
            <w:tcBorders>
              <w:tl2br w:val="nil"/>
              <w:tr2bl w:val="nil"/>
            </w:tcBorders>
            <w:noWrap w:val="0"/>
            <w:vAlign w:val="center"/>
          </w:tcPr>
          <w:p w14:paraId="168AE1EF">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其他：清洁服务用品使用</w:t>
            </w:r>
          </w:p>
        </w:tc>
        <w:tc>
          <w:tcPr>
            <w:tcW w:w="1196" w:type="dxa"/>
            <w:tcBorders>
              <w:tl2br w:val="nil"/>
              <w:tr2bl w:val="nil"/>
            </w:tcBorders>
            <w:noWrap w:val="0"/>
            <w:vAlign w:val="center"/>
          </w:tcPr>
          <w:p w14:paraId="52C75D69">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color w:val="000000"/>
                <w:sz w:val="21"/>
                <w:szCs w:val="21"/>
                <w:lang w:val="en-US" w:eastAsia="zh-CN"/>
              </w:rPr>
              <w:t>1项</w:t>
            </w:r>
          </w:p>
        </w:tc>
      </w:tr>
      <w:tr w14:paraId="065B5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dxa"/>
            <w:tcBorders>
              <w:tl2br w:val="nil"/>
              <w:tr2bl w:val="nil"/>
            </w:tcBorders>
            <w:noWrap w:val="0"/>
            <w:vAlign w:val="center"/>
          </w:tcPr>
          <w:p w14:paraId="717B4373">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3</w:t>
            </w:r>
          </w:p>
        </w:tc>
        <w:tc>
          <w:tcPr>
            <w:tcW w:w="1485" w:type="dxa"/>
            <w:tcBorders>
              <w:tl2br w:val="nil"/>
              <w:tr2bl w:val="nil"/>
            </w:tcBorders>
            <w:noWrap w:val="0"/>
            <w:vAlign w:val="center"/>
          </w:tcPr>
          <w:p w14:paraId="2A9B3B02">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办公区域接待服务</w:t>
            </w:r>
          </w:p>
        </w:tc>
        <w:tc>
          <w:tcPr>
            <w:tcW w:w="6712" w:type="dxa"/>
            <w:tcBorders>
              <w:tl2br w:val="nil"/>
              <w:tr2bl w:val="nil"/>
            </w:tcBorders>
            <w:noWrap w:val="0"/>
            <w:vAlign w:val="center"/>
          </w:tcPr>
          <w:p w14:paraId="662E9EAC">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1.每班8小时。工作日工作时间，上午8:00-11:30，下午13:30-18:00。节假日工作时间，上午8:00-11:30，下午13:30 -18:00。夜间应急保障遇特殊情况，工作时间会随时进行调整。工作量：负责会务活动的引导、服务、礼仪接待。共计服务保障45间，共计3180平方米。其中1号楼七层大小会议室2间（532平方）、一层贵宾厅1间（100平方）；2号楼二层国家信访局办公室10间（320平方）、套间2间（170平方）、会议室1间（80平方）、指挥中心1间（120平方）；三层市信访联席办办公室12间（649平方）、会议室1间（70平方）、三层连廊视频会议室1间（70平方）；四层值班室2间（97平方）、大小会议室2间（110平方）、职工之家1间（200平方）、心理减压室1间（85平方）；五层值班室1间（12平方）、会议室1间（70平方）、套间1间（85平方）；六层国家信访局办公室3间（255平方）、会议室1间（70平方）、套间1间（85平方）。</w:t>
            </w:r>
          </w:p>
          <w:p w14:paraId="7A96AE5C">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2.工作内容：主要负责会议服务、礼仪接待和办公区域清洁工作。</w:t>
            </w:r>
          </w:p>
          <w:p w14:paraId="5CB53E14">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1）收到会议通知后，一是做好会前准备：在会议召开前打开灯光、空调，按规格摆放纸巾纸张、笔、矿泉水等，并提前烧好开水、茶叶备用，根据参会名单排放好桌签。二是做好会中服务：待领导落座后提供会间服务，随时关注参会人员需求，及时添加茶水、更换水杯、补充会议用品。三是做好会后整理。会议结束后及时清理垃圾，包括废弃的纸张、水杯、矿泉水瓶等。恢复会议桌椅，整理桌面物品。关闭会议室的灯光、空调等设备并切断电源。清洁会议室的地面、桌面、设备，关闭门窗确保会议室恢复整洁状态。</w:t>
            </w:r>
          </w:p>
          <w:p w14:paraId="613C4EA4">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（2）日常做好会议室内的消毒、通风、换气等工作，做到随时可以启用。​</w:t>
            </w:r>
          </w:p>
          <w:p w14:paraId="754F77B1">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（3）做好会议场所的日常巡视，发现漏水等问题及时反馈报修。</w:t>
            </w:r>
          </w:p>
          <w:p w14:paraId="2ABD6AAB">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（4）在大型活动或会务保障时，按照礼仪规范，在指定位置热情、礼貌迎送来访或参会人员，引导到指定地点参加会议。提供茶水等服务。</w:t>
            </w:r>
          </w:p>
          <w:p w14:paraId="5B6C9438">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（5）完成对1号楼七层大小会议室、2号楼二层至六层相关办公室、会议室、值班室等房间的卫生清洁和管理。擦拭桌椅、门窗、扶手、开关等设施，及时清理垃圾桶。</w:t>
            </w:r>
          </w:p>
          <w:p w14:paraId="5D8B6BCB">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（6）会务服务人员要及时完成中心领导和办公室临时交办的各项工作任务。</w:t>
            </w:r>
          </w:p>
        </w:tc>
        <w:tc>
          <w:tcPr>
            <w:tcW w:w="1196" w:type="dxa"/>
            <w:tcBorders>
              <w:tl2br w:val="nil"/>
              <w:tr2bl w:val="nil"/>
            </w:tcBorders>
            <w:noWrap w:val="0"/>
            <w:vAlign w:val="center"/>
          </w:tcPr>
          <w:p w14:paraId="593B7BE1">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439</w:t>
            </w:r>
          </w:p>
        </w:tc>
      </w:tr>
      <w:tr w14:paraId="378AD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dxa"/>
            <w:tcBorders>
              <w:tl2br w:val="nil"/>
              <w:tr2bl w:val="nil"/>
            </w:tcBorders>
            <w:noWrap w:val="0"/>
            <w:vAlign w:val="center"/>
          </w:tcPr>
          <w:p w14:paraId="126D87A7">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color w:val="000000"/>
                <w:sz w:val="21"/>
                <w:szCs w:val="21"/>
              </w:rPr>
            </w:pPr>
          </w:p>
        </w:tc>
        <w:tc>
          <w:tcPr>
            <w:tcW w:w="1485" w:type="dxa"/>
            <w:tcBorders>
              <w:tl2br w:val="nil"/>
              <w:tr2bl w:val="nil"/>
            </w:tcBorders>
            <w:noWrap w:val="0"/>
            <w:vAlign w:val="center"/>
          </w:tcPr>
          <w:p w14:paraId="2C673891">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color w:val="000000"/>
                <w:sz w:val="21"/>
                <w:szCs w:val="21"/>
              </w:rPr>
            </w:pPr>
          </w:p>
        </w:tc>
        <w:tc>
          <w:tcPr>
            <w:tcW w:w="6712" w:type="dxa"/>
            <w:tcBorders>
              <w:tl2br w:val="nil"/>
              <w:tr2bl w:val="nil"/>
            </w:tcBorders>
            <w:noWrap w:val="0"/>
            <w:vAlign w:val="center"/>
          </w:tcPr>
          <w:p w14:paraId="34654BB0">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color w:val="000000"/>
                <w:sz w:val="21"/>
                <w:szCs w:val="21"/>
              </w:rPr>
            </w:pPr>
            <w:r>
              <w:rPr>
                <w:rFonts w:hint="eastAsia" w:ascii="宋体" w:hAnsi="宋体"/>
                <w:color w:val="000000"/>
                <w:sz w:val="21"/>
                <w:szCs w:val="21"/>
              </w:rPr>
              <w:t>其他：办公区域接待服务用品使用</w:t>
            </w:r>
          </w:p>
        </w:tc>
        <w:tc>
          <w:tcPr>
            <w:tcW w:w="1196" w:type="dxa"/>
            <w:tcBorders>
              <w:tl2br w:val="nil"/>
              <w:tr2bl w:val="nil"/>
            </w:tcBorders>
            <w:noWrap w:val="0"/>
            <w:vAlign w:val="center"/>
          </w:tcPr>
          <w:p w14:paraId="7DF0F59C">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1项</w:t>
            </w:r>
          </w:p>
        </w:tc>
      </w:tr>
      <w:tr w14:paraId="3A3C9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dxa"/>
            <w:tcBorders>
              <w:tl2br w:val="nil"/>
              <w:tr2bl w:val="nil"/>
            </w:tcBorders>
            <w:noWrap w:val="0"/>
            <w:vAlign w:val="center"/>
          </w:tcPr>
          <w:p w14:paraId="76AD1D09">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4</w:t>
            </w:r>
          </w:p>
        </w:tc>
        <w:tc>
          <w:tcPr>
            <w:tcW w:w="1485" w:type="dxa"/>
            <w:tcBorders>
              <w:tl2br w:val="nil"/>
              <w:tr2bl w:val="nil"/>
            </w:tcBorders>
            <w:noWrap w:val="0"/>
            <w:vAlign w:val="center"/>
          </w:tcPr>
          <w:p w14:paraId="4340E6A8">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基础设备设施维修保养和微型消防站服务</w:t>
            </w:r>
          </w:p>
        </w:tc>
        <w:tc>
          <w:tcPr>
            <w:tcW w:w="6712" w:type="dxa"/>
            <w:tcBorders>
              <w:tl2br w:val="nil"/>
              <w:tr2bl w:val="nil"/>
            </w:tcBorders>
            <w:noWrap w:val="0"/>
            <w:vAlign w:val="center"/>
          </w:tcPr>
          <w:p w14:paraId="40B26DFE">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一、服务需求</w:t>
            </w:r>
          </w:p>
          <w:p w14:paraId="6AD3F8BE">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1.365天24小时工作制，实行3班倒，早班（8:00-16:00）、中班（16:00-24:00）、夜班（24:00-次日8:00）。维修服务日间处理当日各类保修，设备巡视巡查；夜间处理应急报修，安全巡查；微型消防站服务保障24小时院区内所有区域的防火安全巡查、消防设备设施维护，以及初期火灾处置、人员疏散引导等防火安全服务工作。</w:t>
            </w:r>
          </w:p>
          <w:p w14:paraId="0EBD8137">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2.工作内容：</w:t>
            </w:r>
          </w:p>
          <w:p w14:paraId="71AA5F13">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1）维修服务：承担所有区域基础公共设施设备的维修维护。房屋建筑本体共用部位：水、电、气类的维修、养护和管理；基础设施设备类（楼盖、屋顶、梁、柱、内外墙体和基础等承重结构基础部位、外墙面、楼梯间、走廊通道、门厅、地面、金属构架、卫浴洁具、办公家具、共用的上下水管道、管井、落水管、污水井泵、照明等）的维修、养护和管理；夜间值守，处理应急保修及安全巡查。</w:t>
            </w:r>
          </w:p>
          <w:p w14:paraId="7CD77BB0">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（2）微型消防站服务：社会单位微型消防站承担初起火灾扑救的职责，配合消防工作的归口管理职能部门开展本单位日常的防火巡查、消防知识普及、预案演练等工作。</w:t>
            </w:r>
          </w:p>
        </w:tc>
        <w:tc>
          <w:tcPr>
            <w:tcW w:w="1196" w:type="dxa"/>
            <w:tcBorders>
              <w:tl2br w:val="nil"/>
              <w:tr2bl w:val="nil"/>
            </w:tcBorders>
            <w:noWrap w:val="0"/>
            <w:vAlign w:val="center"/>
          </w:tcPr>
          <w:p w14:paraId="2E4101FD">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1560</w:t>
            </w:r>
          </w:p>
        </w:tc>
      </w:tr>
      <w:tr w14:paraId="25298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dxa"/>
            <w:tcBorders>
              <w:tl2br w:val="nil"/>
              <w:tr2bl w:val="nil"/>
            </w:tcBorders>
            <w:noWrap w:val="0"/>
            <w:vAlign w:val="center"/>
          </w:tcPr>
          <w:p w14:paraId="1888DEA6">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color w:val="000000"/>
                <w:sz w:val="21"/>
                <w:szCs w:val="21"/>
              </w:rPr>
            </w:pPr>
          </w:p>
        </w:tc>
        <w:tc>
          <w:tcPr>
            <w:tcW w:w="1485" w:type="dxa"/>
            <w:tcBorders>
              <w:tl2br w:val="nil"/>
              <w:tr2bl w:val="nil"/>
            </w:tcBorders>
            <w:noWrap w:val="0"/>
            <w:vAlign w:val="center"/>
          </w:tcPr>
          <w:p w14:paraId="78E20BDD">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color w:val="000000"/>
                <w:sz w:val="21"/>
                <w:szCs w:val="21"/>
              </w:rPr>
            </w:pPr>
          </w:p>
        </w:tc>
        <w:tc>
          <w:tcPr>
            <w:tcW w:w="6712" w:type="dxa"/>
            <w:tcBorders>
              <w:tl2br w:val="nil"/>
              <w:tr2bl w:val="nil"/>
            </w:tcBorders>
            <w:noWrap w:val="0"/>
            <w:vAlign w:val="center"/>
          </w:tcPr>
          <w:p w14:paraId="7EEE81A7">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color w:val="000000"/>
                <w:sz w:val="21"/>
                <w:szCs w:val="21"/>
              </w:rPr>
            </w:pPr>
            <w:r>
              <w:rPr>
                <w:rFonts w:hint="eastAsia" w:ascii="宋体" w:hAnsi="宋体"/>
                <w:color w:val="000000"/>
                <w:sz w:val="21"/>
                <w:szCs w:val="21"/>
              </w:rPr>
              <w:t>其他：院区房屋、共用设施设备，给排水系统、电力照明，后厨设备、门窗修缮等日常维修</w:t>
            </w:r>
          </w:p>
        </w:tc>
        <w:tc>
          <w:tcPr>
            <w:tcW w:w="1196" w:type="dxa"/>
            <w:tcBorders>
              <w:tl2br w:val="nil"/>
              <w:tr2bl w:val="nil"/>
            </w:tcBorders>
            <w:noWrap w:val="0"/>
            <w:vAlign w:val="center"/>
          </w:tcPr>
          <w:p w14:paraId="3FBAC0EF">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color w:val="000000"/>
                <w:sz w:val="21"/>
                <w:szCs w:val="21"/>
              </w:rPr>
            </w:pPr>
            <w:r>
              <w:rPr>
                <w:rFonts w:hint="eastAsia" w:ascii="宋体" w:hAnsi="宋体"/>
                <w:color w:val="000000"/>
                <w:sz w:val="21"/>
                <w:szCs w:val="21"/>
                <w:lang w:val="en-US" w:eastAsia="zh-CN"/>
              </w:rPr>
              <w:t>1项</w:t>
            </w:r>
          </w:p>
        </w:tc>
      </w:tr>
      <w:tr w14:paraId="375D5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dxa"/>
            <w:tcBorders>
              <w:tl2br w:val="nil"/>
              <w:tr2bl w:val="nil"/>
            </w:tcBorders>
            <w:noWrap w:val="0"/>
            <w:vAlign w:val="center"/>
          </w:tcPr>
          <w:p w14:paraId="171C2DA5">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5</w:t>
            </w:r>
          </w:p>
        </w:tc>
        <w:tc>
          <w:tcPr>
            <w:tcW w:w="1485" w:type="dxa"/>
            <w:tcBorders>
              <w:tl2br w:val="nil"/>
              <w:tr2bl w:val="nil"/>
            </w:tcBorders>
            <w:noWrap w:val="0"/>
            <w:vAlign w:val="center"/>
          </w:tcPr>
          <w:p w14:paraId="7FB6698D">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高压配电室值守服务</w:t>
            </w:r>
          </w:p>
        </w:tc>
        <w:tc>
          <w:tcPr>
            <w:tcW w:w="6712" w:type="dxa"/>
            <w:tcBorders>
              <w:tl2br w:val="nil"/>
              <w:tr2bl w:val="nil"/>
            </w:tcBorders>
            <w:noWrap w:val="0"/>
            <w:vAlign w:val="center"/>
          </w:tcPr>
          <w:p w14:paraId="18C6B76D">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1.365天24小时工作制，实行3班倒，早班（8:00-16:00）、中班（16:00-24:00）、夜班（24:00-次日8:00），每班双岗。</w:t>
            </w:r>
          </w:p>
          <w:p w14:paraId="5B8993FA">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 xml:space="preserve">2.工作内容：（1）根据《变配电室安全管理规范》（DB11 527-2015）和《电力用户变电所运行规程》 （DB32/T 1702-2010），应安排全天24小时专人值班，每班不少于2人，且应明确其中1人为值长。主要负责配电室设施设备的巡检、抄表、启动运行。（1）保障发电机组的配套装置和设施的完整性、可靠性，严格按照规定管理正确使用确保设备安全稳定运行。（2）按发动机组安全操作规程，记录日常安全巡查记录，发电机空载试车运行记录，发电机应急运行记录。（3）柴油发电机每月空载运行二次，每次运行时间不低于10分钟。（4）做好高压配电箱、配电柜的每日巡检工作。 </w:t>
            </w:r>
          </w:p>
        </w:tc>
        <w:tc>
          <w:tcPr>
            <w:tcW w:w="1196" w:type="dxa"/>
            <w:tcBorders>
              <w:tl2br w:val="nil"/>
              <w:tr2bl w:val="nil"/>
            </w:tcBorders>
            <w:noWrap w:val="0"/>
            <w:vAlign w:val="center"/>
          </w:tcPr>
          <w:p w14:paraId="345F8320">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1560</w:t>
            </w:r>
          </w:p>
        </w:tc>
      </w:tr>
      <w:tr w14:paraId="68803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dxa"/>
            <w:tcBorders>
              <w:tl2br w:val="nil"/>
              <w:tr2bl w:val="nil"/>
            </w:tcBorders>
            <w:noWrap w:val="0"/>
            <w:vAlign w:val="center"/>
          </w:tcPr>
          <w:p w14:paraId="7FC90830">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6</w:t>
            </w:r>
          </w:p>
        </w:tc>
        <w:tc>
          <w:tcPr>
            <w:tcW w:w="1485" w:type="dxa"/>
            <w:tcBorders>
              <w:tl2br w:val="nil"/>
              <w:tr2bl w:val="nil"/>
            </w:tcBorders>
            <w:noWrap w:val="0"/>
            <w:vAlign w:val="center"/>
          </w:tcPr>
          <w:p w14:paraId="4BC8C909">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信息通信网络终端维修服务</w:t>
            </w:r>
          </w:p>
        </w:tc>
        <w:tc>
          <w:tcPr>
            <w:tcW w:w="6712" w:type="dxa"/>
            <w:tcBorders>
              <w:tl2br w:val="nil"/>
              <w:tr2bl w:val="nil"/>
            </w:tcBorders>
            <w:noWrap w:val="0"/>
            <w:vAlign w:val="center"/>
          </w:tcPr>
          <w:p w14:paraId="43A90992">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1.工作日8小时工作制，工作时间早8：00-晚17:00。</w:t>
            </w:r>
          </w:p>
          <w:p w14:paraId="5B10E65D">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2.主要工作：负责本单位所有弱电系统的日常维护、故障排查、应急维修、安装调试及技术保障工作，确保监控、网络、电视、电话等核心弱电设施稳定、高效、安全运行，为单位的日常工作提供坚实可靠的技术支持。</w:t>
            </w:r>
          </w:p>
          <w:p w14:paraId="7476D3CA">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1）系统维护与管理：负责单位内部所有弱电系统的日常巡检、预防性维护和生命周期管理，降低系统故障率；（2）故障诊断与修复：快速响应并处理各类弱电系统故障，采取有效措施及时修复，保障业务连续性。（3）会议活动保障：为单位各类重要会议、讲座、培训活动提供全程、可靠的多媒体会议系统技术支持和现场保障；（4）用户支持：为内部员工提供弱电设备使用方面的技术咨询、操作指导，提升设备使用效率；（5）文档与资产管理：建立并维护完整的弱电系统技术档案，实现规范化管理。</w:t>
            </w:r>
          </w:p>
        </w:tc>
        <w:tc>
          <w:tcPr>
            <w:tcW w:w="1196" w:type="dxa"/>
            <w:tcBorders>
              <w:tl2br w:val="nil"/>
              <w:tr2bl w:val="nil"/>
            </w:tcBorders>
            <w:noWrap w:val="0"/>
            <w:vAlign w:val="center"/>
          </w:tcPr>
          <w:p w14:paraId="4DE89633">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260</w:t>
            </w:r>
          </w:p>
        </w:tc>
      </w:tr>
      <w:tr w14:paraId="7B5DB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dxa"/>
            <w:tcBorders>
              <w:tl2br w:val="nil"/>
              <w:tr2bl w:val="nil"/>
            </w:tcBorders>
            <w:noWrap w:val="0"/>
            <w:vAlign w:val="center"/>
          </w:tcPr>
          <w:p w14:paraId="31EC33F8">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7</w:t>
            </w:r>
          </w:p>
        </w:tc>
        <w:tc>
          <w:tcPr>
            <w:tcW w:w="1485" w:type="dxa"/>
            <w:tcBorders>
              <w:tl2br w:val="nil"/>
              <w:tr2bl w:val="nil"/>
            </w:tcBorders>
            <w:noWrap w:val="0"/>
            <w:vAlign w:val="center"/>
          </w:tcPr>
          <w:p w14:paraId="19B958FF">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高压配电室绝缘工具检测</w:t>
            </w:r>
          </w:p>
        </w:tc>
        <w:tc>
          <w:tcPr>
            <w:tcW w:w="6712" w:type="dxa"/>
            <w:tcBorders>
              <w:tl2br w:val="nil"/>
              <w:tr2bl w:val="nil"/>
            </w:tcBorders>
            <w:noWrap w:val="0"/>
            <w:vAlign w:val="center"/>
          </w:tcPr>
          <w:p w14:paraId="2730185D">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lang w:eastAsia="zh-CN"/>
              </w:rPr>
            </w:pPr>
            <w:r>
              <w:rPr>
                <w:rFonts w:hint="eastAsia" w:ascii="宋体" w:hAnsi="宋体" w:eastAsia="宋体"/>
                <w:color w:val="000000"/>
                <w:sz w:val="21"/>
                <w:szCs w:val="21"/>
              </w:rPr>
              <w:t>按规范对配电室绝缘工具进行检测</w:t>
            </w:r>
            <w:r>
              <w:rPr>
                <w:rFonts w:hint="eastAsia" w:ascii="宋体" w:hAnsi="宋体"/>
                <w:color w:val="000000"/>
                <w:sz w:val="21"/>
                <w:szCs w:val="21"/>
                <w:lang w:eastAsia="zh-CN"/>
              </w:rPr>
              <w:t>，</w:t>
            </w:r>
            <w:r>
              <w:rPr>
                <w:rFonts w:hint="eastAsia" w:ascii="宋体" w:hAnsi="宋体"/>
                <w:color w:val="000000"/>
                <w:sz w:val="21"/>
                <w:szCs w:val="21"/>
                <w:lang w:val="en-US" w:eastAsia="zh-CN"/>
              </w:rPr>
              <w:t>提供检测报告。</w:t>
            </w:r>
          </w:p>
        </w:tc>
        <w:tc>
          <w:tcPr>
            <w:tcW w:w="1196" w:type="dxa"/>
            <w:tcBorders>
              <w:tl2br w:val="nil"/>
              <w:tr2bl w:val="nil"/>
            </w:tcBorders>
            <w:noWrap w:val="0"/>
            <w:vAlign w:val="center"/>
          </w:tcPr>
          <w:p w14:paraId="1F2B6E17">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color w:val="000000"/>
                <w:sz w:val="21"/>
                <w:szCs w:val="21"/>
                <w:lang w:val="en-US" w:eastAsia="zh-CN"/>
              </w:rPr>
              <w:t>1项</w:t>
            </w:r>
          </w:p>
        </w:tc>
      </w:tr>
      <w:tr w14:paraId="2477F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dxa"/>
            <w:tcBorders>
              <w:tl2br w:val="nil"/>
              <w:tr2bl w:val="nil"/>
            </w:tcBorders>
            <w:noWrap w:val="0"/>
            <w:vAlign w:val="center"/>
          </w:tcPr>
          <w:p w14:paraId="144AD750">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8</w:t>
            </w:r>
          </w:p>
        </w:tc>
        <w:tc>
          <w:tcPr>
            <w:tcW w:w="1485" w:type="dxa"/>
            <w:tcBorders>
              <w:tl2br w:val="nil"/>
              <w:tr2bl w:val="nil"/>
            </w:tcBorders>
            <w:noWrap w:val="0"/>
            <w:vAlign w:val="center"/>
          </w:tcPr>
          <w:p w14:paraId="124371F0">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避雷检测</w:t>
            </w:r>
          </w:p>
        </w:tc>
        <w:tc>
          <w:tcPr>
            <w:tcW w:w="6712" w:type="dxa"/>
            <w:tcBorders>
              <w:tl2br w:val="nil"/>
              <w:tr2bl w:val="nil"/>
            </w:tcBorders>
            <w:noWrap w:val="0"/>
            <w:vAlign w:val="center"/>
          </w:tcPr>
          <w:p w14:paraId="7D67951B">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避雷检测预估每年1次</w:t>
            </w:r>
            <w:r>
              <w:rPr>
                <w:rFonts w:hint="eastAsia" w:ascii="宋体" w:hAnsi="宋体"/>
                <w:color w:val="000000"/>
                <w:sz w:val="21"/>
                <w:szCs w:val="21"/>
                <w:lang w:eastAsia="zh-CN"/>
              </w:rPr>
              <w:t>，</w:t>
            </w:r>
            <w:r>
              <w:rPr>
                <w:rFonts w:hint="eastAsia" w:ascii="宋体" w:hAnsi="宋体"/>
                <w:color w:val="000000"/>
                <w:sz w:val="21"/>
                <w:szCs w:val="21"/>
                <w:lang w:val="en-US" w:eastAsia="zh-CN"/>
              </w:rPr>
              <w:t>提供检测报告。</w:t>
            </w:r>
          </w:p>
        </w:tc>
        <w:tc>
          <w:tcPr>
            <w:tcW w:w="1196" w:type="dxa"/>
            <w:tcBorders>
              <w:tl2br w:val="nil"/>
              <w:tr2bl w:val="nil"/>
            </w:tcBorders>
            <w:noWrap w:val="0"/>
            <w:vAlign w:val="center"/>
          </w:tcPr>
          <w:p w14:paraId="737E45AF">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color w:val="000000"/>
                <w:sz w:val="21"/>
                <w:szCs w:val="21"/>
                <w:lang w:val="en-US" w:eastAsia="zh-CN"/>
              </w:rPr>
              <w:t>1项</w:t>
            </w:r>
          </w:p>
        </w:tc>
      </w:tr>
      <w:tr w14:paraId="4F23A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dxa"/>
            <w:tcBorders>
              <w:tl2br w:val="nil"/>
              <w:tr2bl w:val="nil"/>
            </w:tcBorders>
            <w:noWrap w:val="0"/>
            <w:vAlign w:val="center"/>
          </w:tcPr>
          <w:p w14:paraId="75C52823">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9</w:t>
            </w:r>
          </w:p>
        </w:tc>
        <w:tc>
          <w:tcPr>
            <w:tcW w:w="1485" w:type="dxa"/>
            <w:tcBorders>
              <w:tl2br w:val="nil"/>
              <w:tr2bl w:val="nil"/>
            </w:tcBorders>
            <w:noWrap w:val="0"/>
            <w:vAlign w:val="center"/>
          </w:tcPr>
          <w:p w14:paraId="089379AC">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水质检测</w:t>
            </w:r>
          </w:p>
        </w:tc>
        <w:tc>
          <w:tcPr>
            <w:tcW w:w="6712" w:type="dxa"/>
            <w:tcBorders>
              <w:tl2br w:val="nil"/>
              <w:tr2bl w:val="nil"/>
            </w:tcBorders>
            <w:noWrap w:val="0"/>
            <w:vAlign w:val="center"/>
          </w:tcPr>
          <w:p w14:paraId="3B38C412">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饮用水水质检验；水质检测预估每年1次</w:t>
            </w:r>
            <w:r>
              <w:rPr>
                <w:rFonts w:hint="eastAsia" w:ascii="宋体" w:hAnsi="宋体"/>
                <w:color w:val="000000"/>
                <w:sz w:val="21"/>
                <w:szCs w:val="21"/>
                <w:lang w:eastAsia="zh-CN"/>
              </w:rPr>
              <w:t>，</w:t>
            </w:r>
            <w:r>
              <w:rPr>
                <w:rFonts w:hint="eastAsia" w:ascii="宋体" w:hAnsi="宋体"/>
                <w:color w:val="000000"/>
                <w:sz w:val="21"/>
                <w:szCs w:val="21"/>
                <w:lang w:val="en-US" w:eastAsia="zh-CN"/>
              </w:rPr>
              <w:t>提供检测报告。</w:t>
            </w:r>
          </w:p>
        </w:tc>
        <w:tc>
          <w:tcPr>
            <w:tcW w:w="1196" w:type="dxa"/>
            <w:tcBorders>
              <w:tl2br w:val="nil"/>
              <w:tr2bl w:val="nil"/>
            </w:tcBorders>
            <w:noWrap w:val="0"/>
            <w:vAlign w:val="center"/>
          </w:tcPr>
          <w:p w14:paraId="532B8592">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color w:val="000000"/>
                <w:sz w:val="21"/>
                <w:szCs w:val="21"/>
                <w:lang w:val="en-US" w:eastAsia="zh-CN"/>
              </w:rPr>
              <w:t>1项</w:t>
            </w:r>
          </w:p>
        </w:tc>
      </w:tr>
      <w:tr w14:paraId="185A9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dxa"/>
            <w:tcBorders>
              <w:tl2br w:val="nil"/>
              <w:tr2bl w:val="nil"/>
            </w:tcBorders>
            <w:noWrap w:val="0"/>
            <w:vAlign w:val="center"/>
          </w:tcPr>
          <w:p w14:paraId="72D7B1A1">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10</w:t>
            </w:r>
          </w:p>
        </w:tc>
        <w:tc>
          <w:tcPr>
            <w:tcW w:w="1485" w:type="dxa"/>
            <w:tcBorders>
              <w:tl2br w:val="nil"/>
              <w:tr2bl w:val="nil"/>
            </w:tcBorders>
            <w:noWrap w:val="0"/>
            <w:vAlign w:val="center"/>
          </w:tcPr>
          <w:p w14:paraId="1B37C17F">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灭火器年检</w:t>
            </w:r>
          </w:p>
        </w:tc>
        <w:tc>
          <w:tcPr>
            <w:tcW w:w="6712" w:type="dxa"/>
            <w:tcBorders>
              <w:tl2br w:val="nil"/>
              <w:tr2bl w:val="nil"/>
            </w:tcBorders>
            <w:noWrap w:val="0"/>
            <w:vAlign w:val="center"/>
          </w:tcPr>
          <w:p w14:paraId="4A3B9E7A">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灭火器年检</w:t>
            </w:r>
            <w:r>
              <w:rPr>
                <w:rFonts w:hint="eastAsia" w:ascii="宋体" w:hAnsi="宋体"/>
                <w:color w:val="000000"/>
                <w:sz w:val="21"/>
                <w:szCs w:val="21"/>
                <w:lang w:eastAsia="zh-CN"/>
              </w:rPr>
              <w:t>，</w:t>
            </w:r>
            <w:r>
              <w:rPr>
                <w:rFonts w:hint="eastAsia" w:ascii="宋体" w:hAnsi="宋体"/>
                <w:color w:val="000000"/>
                <w:sz w:val="21"/>
                <w:szCs w:val="21"/>
                <w:lang w:val="en-US" w:eastAsia="zh-CN"/>
              </w:rPr>
              <w:t>提供检测报告。</w:t>
            </w:r>
          </w:p>
        </w:tc>
        <w:tc>
          <w:tcPr>
            <w:tcW w:w="1196" w:type="dxa"/>
            <w:tcBorders>
              <w:tl2br w:val="nil"/>
              <w:tr2bl w:val="nil"/>
            </w:tcBorders>
            <w:noWrap w:val="0"/>
            <w:vAlign w:val="center"/>
          </w:tcPr>
          <w:p w14:paraId="66E018A6">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color w:val="000000"/>
                <w:sz w:val="21"/>
                <w:szCs w:val="21"/>
                <w:lang w:val="en-US" w:eastAsia="zh-CN"/>
              </w:rPr>
              <w:t>1项</w:t>
            </w:r>
          </w:p>
        </w:tc>
      </w:tr>
      <w:tr w14:paraId="1203E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dxa"/>
            <w:tcBorders>
              <w:tl2br w:val="nil"/>
              <w:tr2bl w:val="nil"/>
            </w:tcBorders>
            <w:noWrap w:val="0"/>
            <w:vAlign w:val="center"/>
          </w:tcPr>
          <w:p w14:paraId="6E962FB1">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11</w:t>
            </w:r>
          </w:p>
        </w:tc>
        <w:tc>
          <w:tcPr>
            <w:tcW w:w="1485" w:type="dxa"/>
            <w:tcBorders>
              <w:tl2br w:val="nil"/>
              <w:tr2bl w:val="nil"/>
            </w:tcBorders>
            <w:noWrap w:val="0"/>
            <w:vAlign w:val="center"/>
          </w:tcPr>
          <w:p w14:paraId="09183D6A">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消电检</w:t>
            </w:r>
          </w:p>
        </w:tc>
        <w:tc>
          <w:tcPr>
            <w:tcW w:w="6712" w:type="dxa"/>
            <w:tcBorders>
              <w:tl2br w:val="nil"/>
              <w:tr2bl w:val="nil"/>
            </w:tcBorders>
            <w:noWrap w:val="0"/>
            <w:vAlign w:val="center"/>
          </w:tcPr>
          <w:p w14:paraId="4EDD6F47">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消电检预计安排1次</w:t>
            </w:r>
          </w:p>
        </w:tc>
        <w:tc>
          <w:tcPr>
            <w:tcW w:w="1196" w:type="dxa"/>
            <w:tcBorders>
              <w:tl2br w:val="nil"/>
              <w:tr2bl w:val="nil"/>
            </w:tcBorders>
            <w:noWrap w:val="0"/>
            <w:vAlign w:val="center"/>
          </w:tcPr>
          <w:p w14:paraId="64E7FD92">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color w:val="000000"/>
                <w:sz w:val="21"/>
                <w:szCs w:val="21"/>
                <w:lang w:val="en-US" w:eastAsia="zh-CN"/>
              </w:rPr>
              <w:t>1项</w:t>
            </w:r>
          </w:p>
        </w:tc>
      </w:tr>
      <w:tr w14:paraId="25FF2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dxa"/>
            <w:tcBorders>
              <w:tl2br w:val="nil"/>
              <w:tr2bl w:val="nil"/>
            </w:tcBorders>
            <w:noWrap w:val="0"/>
            <w:vAlign w:val="center"/>
          </w:tcPr>
          <w:p w14:paraId="20FA76C1">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12</w:t>
            </w:r>
          </w:p>
        </w:tc>
        <w:tc>
          <w:tcPr>
            <w:tcW w:w="1485" w:type="dxa"/>
            <w:tcBorders>
              <w:tl2br w:val="nil"/>
              <w:tr2bl w:val="nil"/>
            </w:tcBorders>
            <w:noWrap w:val="0"/>
            <w:vAlign w:val="center"/>
          </w:tcPr>
          <w:p w14:paraId="69A7347B">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电梯设备巡检、维护保养及年检</w:t>
            </w:r>
          </w:p>
        </w:tc>
        <w:tc>
          <w:tcPr>
            <w:tcW w:w="6712" w:type="dxa"/>
            <w:tcBorders>
              <w:tl2br w:val="nil"/>
              <w:tr2bl w:val="nil"/>
            </w:tcBorders>
            <w:noWrap w:val="0"/>
            <w:vAlign w:val="center"/>
          </w:tcPr>
          <w:p w14:paraId="07C1A9F1">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电梯设备8部客梯2部食梯巡检、维护日常保养及年检</w:t>
            </w:r>
          </w:p>
        </w:tc>
        <w:tc>
          <w:tcPr>
            <w:tcW w:w="1196" w:type="dxa"/>
            <w:tcBorders>
              <w:tl2br w:val="nil"/>
              <w:tr2bl w:val="nil"/>
            </w:tcBorders>
            <w:noWrap w:val="0"/>
            <w:vAlign w:val="center"/>
          </w:tcPr>
          <w:p w14:paraId="750870E2">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color w:val="000000"/>
                <w:sz w:val="21"/>
                <w:szCs w:val="21"/>
                <w:lang w:val="en-US" w:eastAsia="zh-CN"/>
              </w:rPr>
              <w:t>1项</w:t>
            </w:r>
          </w:p>
        </w:tc>
      </w:tr>
      <w:tr w14:paraId="759E2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dxa"/>
            <w:tcBorders>
              <w:tl2br w:val="nil"/>
              <w:tr2bl w:val="nil"/>
            </w:tcBorders>
            <w:noWrap w:val="0"/>
            <w:vAlign w:val="center"/>
          </w:tcPr>
          <w:p w14:paraId="6E41025E">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13</w:t>
            </w:r>
          </w:p>
        </w:tc>
        <w:tc>
          <w:tcPr>
            <w:tcW w:w="1485" w:type="dxa"/>
            <w:tcBorders>
              <w:tl2br w:val="nil"/>
              <w:tr2bl w:val="nil"/>
            </w:tcBorders>
            <w:noWrap w:val="0"/>
            <w:vAlign w:val="center"/>
          </w:tcPr>
          <w:p w14:paraId="0611EEDD">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后厨燃气报警装置及机房压力表、有限空间气体检测设备年检</w:t>
            </w:r>
          </w:p>
        </w:tc>
        <w:tc>
          <w:tcPr>
            <w:tcW w:w="6712" w:type="dxa"/>
            <w:tcBorders>
              <w:tl2br w:val="nil"/>
              <w:tr2bl w:val="nil"/>
            </w:tcBorders>
            <w:noWrap w:val="0"/>
            <w:vAlign w:val="center"/>
          </w:tcPr>
          <w:p w14:paraId="6060DB74">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后厨燃气报警装置及机房压力表、有限空间气体检测设备年检</w:t>
            </w:r>
          </w:p>
        </w:tc>
        <w:tc>
          <w:tcPr>
            <w:tcW w:w="1196" w:type="dxa"/>
            <w:tcBorders>
              <w:tl2br w:val="nil"/>
              <w:tr2bl w:val="nil"/>
            </w:tcBorders>
            <w:noWrap w:val="0"/>
            <w:vAlign w:val="center"/>
          </w:tcPr>
          <w:p w14:paraId="3600C497">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color w:val="000000"/>
                <w:sz w:val="21"/>
                <w:szCs w:val="21"/>
                <w:lang w:val="en-US" w:eastAsia="zh-CN"/>
              </w:rPr>
              <w:t>1项</w:t>
            </w:r>
          </w:p>
        </w:tc>
      </w:tr>
      <w:tr w14:paraId="7B13A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dxa"/>
            <w:tcBorders>
              <w:tl2br w:val="nil"/>
              <w:tr2bl w:val="nil"/>
            </w:tcBorders>
            <w:noWrap w:val="0"/>
            <w:vAlign w:val="center"/>
          </w:tcPr>
          <w:p w14:paraId="3135F8A8">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14</w:t>
            </w:r>
          </w:p>
        </w:tc>
        <w:tc>
          <w:tcPr>
            <w:tcW w:w="1485" w:type="dxa"/>
            <w:tcBorders>
              <w:tl2br w:val="nil"/>
              <w:tr2bl w:val="nil"/>
            </w:tcBorders>
            <w:noWrap w:val="0"/>
            <w:vAlign w:val="center"/>
          </w:tcPr>
          <w:p w14:paraId="527D9AA5">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后厨维保及烟道清洗</w:t>
            </w:r>
          </w:p>
        </w:tc>
        <w:tc>
          <w:tcPr>
            <w:tcW w:w="6712" w:type="dxa"/>
            <w:tcBorders>
              <w:tl2br w:val="nil"/>
              <w:tr2bl w:val="nil"/>
            </w:tcBorders>
            <w:noWrap w:val="0"/>
            <w:vAlign w:val="center"/>
          </w:tcPr>
          <w:p w14:paraId="58077421">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后厨所有餐厨设备设施的检修、维护、保养，隔油池定期清洁维护，清洗烟道，天然气管道的维护与保养</w:t>
            </w:r>
          </w:p>
        </w:tc>
        <w:tc>
          <w:tcPr>
            <w:tcW w:w="1196" w:type="dxa"/>
            <w:tcBorders>
              <w:tl2br w:val="nil"/>
              <w:tr2bl w:val="nil"/>
            </w:tcBorders>
            <w:noWrap w:val="0"/>
            <w:vAlign w:val="center"/>
          </w:tcPr>
          <w:p w14:paraId="41FBB5AD">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color w:val="000000"/>
                <w:sz w:val="21"/>
                <w:szCs w:val="21"/>
                <w:lang w:val="en-US" w:eastAsia="zh-CN"/>
              </w:rPr>
              <w:t>1项</w:t>
            </w:r>
          </w:p>
        </w:tc>
      </w:tr>
      <w:tr w14:paraId="262D3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dxa"/>
            <w:tcBorders>
              <w:tl2br w:val="nil"/>
              <w:tr2bl w:val="nil"/>
            </w:tcBorders>
            <w:noWrap w:val="0"/>
            <w:vAlign w:val="center"/>
          </w:tcPr>
          <w:p w14:paraId="298FCA30">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15</w:t>
            </w:r>
          </w:p>
        </w:tc>
        <w:tc>
          <w:tcPr>
            <w:tcW w:w="1485" w:type="dxa"/>
            <w:tcBorders>
              <w:tl2br w:val="nil"/>
              <w:tr2bl w:val="nil"/>
            </w:tcBorders>
            <w:noWrap w:val="0"/>
            <w:vAlign w:val="center"/>
          </w:tcPr>
          <w:p w14:paraId="34AD1539">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分体空调、中央空调系统的运行维护保养</w:t>
            </w:r>
          </w:p>
        </w:tc>
        <w:tc>
          <w:tcPr>
            <w:tcW w:w="6712" w:type="dxa"/>
            <w:tcBorders>
              <w:tl2br w:val="nil"/>
              <w:tr2bl w:val="nil"/>
            </w:tcBorders>
            <w:noWrap w:val="0"/>
            <w:vAlign w:val="center"/>
          </w:tcPr>
          <w:p w14:paraId="64E22225">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分体空调12台、中央空调（地源热泵）系统</w:t>
            </w:r>
            <w:r>
              <w:rPr>
                <w:rFonts w:hint="eastAsia" w:ascii="宋体" w:hAnsi="宋体"/>
                <w:color w:val="000000"/>
                <w:sz w:val="21"/>
                <w:szCs w:val="21"/>
                <w:lang w:eastAsia="zh-CN"/>
              </w:rPr>
              <w:t>运行值守、</w:t>
            </w:r>
            <w:r>
              <w:rPr>
                <w:rFonts w:hint="eastAsia" w:ascii="宋体" w:hAnsi="宋体" w:eastAsia="宋体"/>
                <w:color w:val="000000"/>
                <w:sz w:val="21"/>
                <w:szCs w:val="21"/>
              </w:rPr>
              <w:t>清洗、维护</w:t>
            </w:r>
          </w:p>
        </w:tc>
        <w:tc>
          <w:tcPr>
            <w:tcW w:w="1196" w:type="dxa"/>
            <w:tcBorders>
              <w:tl2br w:val="nil"/>
              <w:tr2bl w:val="nil"/>
            </w:tcBorders>
            <w:noWrap w:val="0"/>
            <w:vAlign w:val="center"/>
          </w:tcPr>
          <w:p w14:paraId="262C2822">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color w:val="000000"/>
                <w:sz w:val="21"/>
                <w:szCs w:val="21"/>
                <w:lang w:val="en-US" w:eastAsia="zh-CN"/>
              </w:rPr>
              <w:t>1项</w:t>
            </w:r>
          </w:p>
        </w:tc>
      </w:tr>
      <w:tr w14:paraId="0AC93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dxa"/>
            <w:tcBorders>
              <w:tl2br w:val="nil"/>
              <w:tr2bl w:val="nil"/>
            </w:tcBorders>
            <w:noWrap w:val="0"/>
            <w:vAlign w:val="center"/>
          </w:tcPr>
          <w:p w14:paraId="61768D2E">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16</w:t>
            </w:r>
          </w:p>
        </w:tc>
        <w:tc>
          <w:tcPr>
            <w:tcW w:w="1485" w:type="dxa"/>
            <w:tcBorders>
              <w:tl2br w:val="nil"/>
              <w:tr2bl w:val="nil"/>
            </w:tcBorders>
            <w:noWrap w:val="0"/>
            <w:vAlign w:val="center"/>
          </w:tcPr>
          <w:p w14:paraId="72B501C5">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消防维保</w:t>
            </w:r>
          </w:p>
        </w:tc>
        <w:tc>
          <w:tcPr>
            <w:tcW w:w="6712" w:type="dxa"/>
            <w:tcBorders>
              <w:tl2br w:val="nil"/>
              <w:tr2bl w:val="nil"/>
            </w:tcBorders>
            <w:noWrap w:val="0"/>
            <w:vAlign w:val="center"/>
          </w:tcPr>
          <w:p w14:paraId="036B8C9C">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消防维保包括月检及设备维修；</w:t>
            </w:r>
          </w:p>
          <w:p w14:paraId="7F5254B9">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p>
        </w:tc>
        <w:tc>
          <w:tcPr>
            <w:tcW w:w="1196" w:type="dxa"/>
            <w:tcBorders>
              <w:tl2br w:val="nil"/>
              <w:tr2bl w:val="nil"/>
            </w:tcBorders>
            <w:noWrap w:val="0"/>
            <w:vAlign w:val="center"/>
          </w:tcPr>
          <w:p w14:paraId="3219FCAF">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color w:val="000000"/>
                <w:sz w:val="21"/>
                <w:szCs w:val="21"/>
                <w:lang w:val="en-US" w:eastAsia="zh-CN"/>
              </w:rPr>
              <w:t>1项</w:t>
            </w:r>
          </w:p>
        </w:tc>
      </w:tr>
      <w:tr w14:paraId="4970B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dxa"/>
            <w:tcBorders>
              <w:tl2br w:val="nil"/>
              <w:tr2bl w:val="nil"/>
            </w:tcBorders>
            <w:noWrap w:val="0"/>
            <w:vAlign w:val="center"/>
          </w:tcPr>
          <w:p w14:paraId="6450F5CD">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17</w:t>
            </w:r>
          </w:p>
        </w:tc>
        <w:tc>
          <w:tcPr>
            <w:tcW w:w="1485" w:type="dxa"/>
            <w:tcBorders>
              <w:tl2br w:val="nil"/>
              <w:tr2bl w:val="nil"/>
            </w:tcBorders>
            <w:noWrap w:val="0"/>
            <w:vAlign w:val="center"/>
          </w:tcPr>
          <w:p w14:paraId="1D4A6D8D">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接待膳食系统软件维护</w:t>
            </w:r>
          </w:p>
        </w:tc>
        <w:tc>
          <w:tcPr>
            <w:tcW w:w="6712" w:type="dxa"/>
            <w:tcBorders>
              <w:tl2br w:val="nil"/>
              <w:tr2bl w:val="nil"/>
            </w:tcBorders>
            <w:noWrap w:val="0"/>
            <w:vAlign w:val="center"/>
          </w:tcPr>
          <w:p w14:paraId="7D6DA74C">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定期对接待膳食系统软件维护</w:t>
            </w:r>
          </w:p>
        </w:tc>
        <w:tc>
          <w:tcPr>
            <w:tcW w:w="1196" w:type="dxa"/>
            <w:tcBorders>
              <w:tl2br w:val="nil"/>
              <w:tr2bl w:val="nil"/>
            </w:tcBorders>
            <w:noWrap w:val="0"/>
            <w:vAlign w:val="center"/>
          </w:tcPr>
          <w:p w14:paraId="22D92A45">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color w:val="000000"/>
                <w:sz w:val="21"/>
                <w:szCs w:val="21"/>
                <w:lang w:val="en-US" w:eastAsia="zh-CN"/>
              </w:rPr>
              <w:t>1项</w:t>
            </w:r>
          </w:p>
        </w:tc>
      </w:tr>
      <w:tr w14:paraId="75B5B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dxa"/>
            <w:tcBorders>
              <w:tl2br w:val="nil"/>
              <w:tr2bl w:val="nil"/>
            </w:tcBorders>
            <w:noWrap w:val="0"/>
            <w:vAlign w:val="center"/>
          </w:tcPr>
          <w:p w14:paraId="0B546744">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18</w:t>
            </w:r>
          </w:p>
        </w:tc>
        <w:tc>
          <w:tcPr>
            <w:tcW w:w="1485" w:type="dxa"/>
            <w:tcBorders>
              <w:tl2br w:val="nil"/>
              <w:tr2bl w:val="nil"/>
            </w:tcBorders>
            <w:noWrap w:val="0"/>
            <w:vAlign w:val="center"/>
          </w:tcPr>
          <w:p w14:paraId="56B9B7BF">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垃圾清运</w:t>
            </w:r>
          </w:p>
        </w:tc>
        <w:tc>
          <w:tcPr>
            <w:tcW w:w="6712" w:type="dxa"/>
            <w:tcBorders>
              <w:tl2br w:val="nil"/>
              <w:tr2bl w:val="nil"/>
            </w:tcBorders>
            <w:noWrap w:val="0"/>
            <w:vAlign w:val="center"/>
          </w:tcPr>
          <w:p w14:paraId="4133ADDF">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垃圾清运</w:t>
            </w:r>
          </w:p>
        </w:tc>
        <w:tc>
          <w:tcPr>
            <w:tcW w:w="1196" w:type="dxa"/>
            <w:tcBorders>
              <w:tl2br w:val="nil"/>
              <w:tr2bl w:val="nil"/>
            </w:tcBorders>
            <w:noWrap w:val="0"/>
            <w:vAlign w:val="center"/>
          </w:tcPr>
          <w:p w14:paraId="1DE1C7C9">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color w:val="000000"/>
                <w:sz w:val="21"/>
                <w:szCs w:val="21"/>
                <w:lang w:val="en-US" w:eastAsia="zh-CN"/>
              </w:rPr>
              <w:t>1项</w:t>
            </w:r>
          </w:p>
        </w:tc>
      </w:tr>
      <w:tr w14:paraId="37237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dxa"/>
            <w:tcBorders>
              <w:tl2br w:val="nil"/>
              <w:tr2bl w:val="nil"/>
            </w:tcBorders>
            <w:noWrap w:val="0"/>
            <w:vAlign w:val="center"/>
          </w:tcPr>
          <w:p w14:paraId="1850E12A">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19</w:t>
            </w:r>
          </w:p>
        </w:tc>
        <w:tc>
          <w:tcPr>
            <w:tcW w:w="1485" w:type="dxa"/>
            <w:tcBorders>
              <w:tl2br w:val="nil"/>
              <w:tr2bl w:val="nil"/>
            </w:tcBorders>
            <w:noWrap w:val="0"/>
            <w:vAlign w:val="center"/>
          </w:tcPr>
          <w:p w14:paraId="7CBFB657">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化粪池及隔油池清掏</w:t>
            </w:r>
          </w:p>
        </w:tc>
        <w:tc>
          <w:tcPr>
            <w:tcW w:w="6712" w:type="dxa"/>
            <w:tcBorders>
              <w:tl2br w:val="nil"/>
              <w:tr2bl w:val="nil"/>
            </w:tcBorders>
            <w:noWrap w:val="0"/>
            <w:vAlign w:val="center"/>
          </w:tcPr>
          <w:p w14:paraId="5157A47B">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定期对化粪池及隔油池进行清掏</w:t>
            </w:r>
          </w:p>
        </w:tc>
        <w:tc>
          <w:tcPr>
            <w:tcW w:w="1196" w:type="dxa"/>
            <w:tcBorders>
              <w:tl2br w:val="nil"/>
              <w:tr2bl w:val="nil"/>
            </w:tcBorders>
            <w:noWrap w:val="0"/>
            <w:vAlign w:val="center"/>
          </w:tcPr>
          <w:p w14:paraId="46A96061">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color w:val="000000"/>
                <w:sz w:val="21"/>
                <w:szCs w:val="21"/>
                <w:lang w:val="en-US" w:eastAsia="zh-CN"/>
              </w:rPr>
              <w:t>1项</w:t>
            </w:r>
          </w:p>
        </w:tc>
      </w:tr>
      <w:tr w14:paraId="08F56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dxa"/>
            <w:tcBorders>
              <w:tl2br w:val="nil"/>
              <w:tr2bl w:val="nil"/>
            </w:tcBorders>
            <w:noWrap w:val="0"/>
            <w:vAlign w:val="center"/>
          </w:tcPr>
          <w:p w14:paraId="7FD14ABC">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20</w:t>
            </w:r>
          </w:p>
        </w:tc>
        <w:tc>
          <w:tcPr>
            <w:tcW w:w="1485" w:type="dxa"/>
            <w:tcBorders>
              <w:tl2br w:val="nil"/>
              <w:tr2bl w:val="nil"/>
            </w:tcBorders>
            <w:noWrap w:val="0"/>
            <w:vAlign w:val="center"/>
          </w:tcPr>
          <w:p w14:paraId="7976BB86">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有害生物防治</w:t>
            </w:r>
          </w:p>
        </w:tc>
        <w:tc>
          <w:tcPr>
            <w:tcW w:w="6712" w:type="dxa"/>
            <w:tcBorders>
              <w:tl2br w:val="nil"/>
              <w:tr2bl w:val="nil"/>
            </w:tcBorders>
            <w:noWrap w:val="0"/>
            <w:vAlign w:val="center"/>
          </w:tcPr>
          <w:p w14:paraId="74467ED6">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定期消杀灭虫（鼠、蚊、蟑螂、蝇等）</w:t>
            </w:r>
          </w:p>
        </w:tc>
        <w:tc>
          <w:tcPr>
            <w:tcW w:w="1196" w:type="dxa"/>
            <w:tcBorders>
              <w:tl2br w:val="nil"/>
              <w:tr2bl w:val="nil"/>
            </w:tcBorders>
            <w:noWrap w:val="0"/>
            <w:vAlign w:val="center"/>
          </w:tcPr>
          <w:p w14:paraId="4BAF10D5">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color w:val="000000"/>
                <w:sz w:val="21"/>
                <w:szCs w:val="21"/>
                <w:lang w:val="en-US" w:eastAsia="zh-CN"/>
              </w:rPr>
              <w:t>1项</w:t>
            </w:r>
          </w:p>
        </w:tc>
      </w:tr>
      <w:tr w14:paraId="067CF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dxa"/>
            <w:tcBorders>
              <w:tl2br w:val="nil"/>
              <w:tr2bl w:val="nil"/>
            </w:tcBorders>
            <w:noWrap w:val="0"/>
            <w:vAlign w:val="center"/>
          </w:tcPr>
          <w:p w14:paraId="2B3935FF">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21</w:t>
            </w:r>
          </w:p>
        </w:tc>
        <w:tc>
          <w:tcPr>
            <w:tcW w:w="1485" w:type="dxa"/>
            <w:tcBorders>
              <w:tl2br w:val="nil"/>
              <w:tr2bl w:val="nil"/>
            </w:tcBorders>
            <w:noWrap w:val="0"/>
            <w:vAlign w:val="center"/>
          </w:tcPr>
          <w:p w14:paraId="696EEA6D">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绿化养护</w:t>
            </w:r>
          </w:p>
        </w:tc>
        <w:tc>
          <w:tcPr>
            <w:tcW w:w="6712" w:type="dxa"/>
            <w:tcBorders>
              <w:tl2br w:val="nil"/>
              <w:tr2bl w:val="nil"/>
            </w:tcBorders>
            <w:noWrap w:val="0"/>
            <w:vAlign w:val="center"/>
          </w:tcPr>
          <w:p w14:paraId="4CDB0FE5">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院区室外及室内绿化养护，绿植更换，大树修剪及绿化垃圾清运消纳</w:t>
            </w:r>
          </w:p>
        </w:tc>
        <w:tc>
          <w:tcPr>
            <w:tcW w:w="1196" w:type="dxa"/>
            <w:tcBorders>
              <w:tl2br w:val="nil"/>
              <w:tr2bl w:val="nil"/>
            </w:tcBorders>
            <w:noWrap w:val="0"/>
            <w:vAlign w:val="center"/>
          </w:tcPr>
          <w:p w14:paraId="66F43F6F">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eastAsia="宋体"/>
                <w:color w:val="000000"/>
                <w:sz w:val="21"/>
                <w:szCs w:val="21"/>
              </w:rPr>
            </w:pPr>
            <w:r>
              <w:rPr>
                <w:rFonts w:hint="eastAsia" w:ascii="宋体" w:hAnsi="宋体"/>
                <w:color w:val="000000"/>
                <w:sz w:val="21"/>
                <w:szCs w:val="21"/>
                <w:lang w:val="en-US" w:eastAsia="zh-CN"/>
              </w:rPr>
              <w:t>1项</w:t>
            </w:r>
          </w:p>
        </w:tc>
      </w:tr>
      <w:tr w14:paraId="68A77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dxa"/>
            <w:tcBorders>
              <w:tl2br w:val="nil"/>
              <w:tr2bl w:val="nil"/>
            </w:tcBorders>
            <w:noWrap w:val="0"/>
            <w:vAlign w:val="center"/>
          </w:tcPr>
          <w:p w14:paraId="6A11F519">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22</w:t>
            </w:r>
          </w:p>
        </w:tc>
        <w:tc>
          <w:tcPr>
            <w:tcW w:w="1485" w:type="dxa"/>
            <w:tcBorders>
              <w:tl2br w:val="nil"/>
              <w:tr2bl w:val="nil"/>
            </w:tcBorders>
            <w:noWrap w:val="0"/>
            <w:vAlign w:val="center"/>
          </w:tcPr>
          <w:p w14:paraId="0BDE8DAE">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Times New Roman" w:hAnsi="Times New Roman" w:eastAsia="宋体" w:cs="Times New Roman"/>
                <w:bCs w:val="0"/>
                <w:sz w:val="21"/>
                <w:szCs w:val="21"/>
                <w:lang w:eastAsia="zh-CN"/>
              </w:rPr>
              <w:t>应急工作及配合保卫科对院区进行巡视</w:t>
            </w:r>
          </w:p>
        </w:tc>
        <w:tc>
          <w:tcPr>
            <w:tcW w:w="6712" w:type="dxa"/>
            <w:tcBorders>
              <w:tl2br w:val="nil"/>
              <w:tr2bl w:val="nil"/>
            </w:tcBorders>
            <w:noWrap w:val="0"/>
            <w:vAlign w:val="center"/>
          </w:tcPr>
          <w:p w14:paraId="51F41E9E">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Times New Roman" w:hAnsi="Times New Roman" w:eastAsia="宋体" w:cs="Times New Roman"/>
                <w:bCs w:val="0"/>
                <w:sz w:val="21"/>
                <w:szCs w:val="21"/>
                <w:lang w:eastAsia="zh-CN"/>
              </w:rPr>
              <w:t>范围包括日常公共区域设施、机房设备、院区及楼内环境卫生。</w:t>
            </w:r>
          </w:p>
        </w:tc>
        <w:tc>
          <w:tcPr>
            <w:tcW w:w="1196" w:type="dxa"/>
            <w:tcBorders>
              <w:tl2br w:val="nil"/>
              <w:tr2bl w:val="nil"/>
            </w:tcBorders>
            <w:noWrap w:val="0"/>
            <w:vAlign w:val="center"/>
          </w:tcPr>
          <w:p w14:paraId="3E8EFAF6">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color w:val="000000"/>
                <w:sz w:val="21"/>
                <w:szCs w:val="21"/>
                <w:lang w:val="en-US" w:eastAsia="zh-CN"/>
              </w:rPr>
            </w:pPr>
            <w:r>
              <w:rPr>
                <w:rFonts w:hint="eastAsia" w:ascii="宋体" w:hAnsi="宋体"/>
                <w:color w:val="000000"/>
                <w:sz w:val="21"/>
                <w:szCs w:val="21"/>
                <w:lang w:val="en-US" w:eastAsia="zh-CN"/>
              </w:rPr>
              <w:t>1项</w:t>
            </w:r>
          </w:p>
        </w:tc>
      </w:tr>
      <w:tr w14:paraId="5CEF5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dxa"/>
            <w:tcBorders>
              <w:tl2br w:val="nil"/>
              <w:tr2bl w:val="nil"/>
            </w:tcBorders>
            <w:noWrap w:val="0"/>
            <w:vAlign w:val="center"/>
          </w:tcPr>
          <w:p w14:paraId="4702E3A9">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23</w:t>
            </w:r>
          </w:p>
        </w:tc>
        <w:tc>
          <w:tcPr>
            <w:tcW w:w="1485" w:type="dxa"/>
            <w:tcBorders>
              <w:tl2br w:val="nil"/>
              <w:tr2bl w:val="nil"/>
            </w:tcBorders>
            <w:noWrap w:val="0"/>
            <w:vAlign w:val="center"/>
          </w:tcPr>
          <w:p w14:paraId="264C709C">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Times New Roman" w:hAnsi="Times New Roman" w:eastAsia="宋体" w:cs="Times New Roman"/>
                <w:bCs w:val="0"/>
                <w:sz w:val="21"/>
                <w:szCs w:val="21"/>
                <w:lang w:eastAsia="zh-CN"/>
              </w:rPr>
              <w:t>机具</w:t>
            </w:r>
            <w:r>
              <w:rPr>
                <w:rFonts w:hint="eastAsia" w:cs="Times New Roman"/>
                <w:bCs w:val="0"/>
                <w:sz w:val="21"/>
                <w:szCs w:val="21"/>
                <w:lang w:val="en-US" w:eastAsia="zh-CN"/>
              </w:rPr>
              <w:t>和</w:t>
            </w:r>
            <w:r>
              <w:rPr>
                <w:rFonts w:hint="eastAsia" w:ascii="Times New Roman" w:hAnsi="Times New Roman" w:eastAsia="宋体" w:cs="Times New Roman"/>
                <w:bCs w:val="0"/>
                <w:sz w:val="21"/>
                <w:szCs w:val="21"/>
                <w:lang w:eastAsia="zh-CN"/>
              </w:rPr>
              <w:t>设备的自控系统的维修保养。</w:t>
            </w:r>
          </w:p>
        </w:tc>
        <w:tc>
          <w:tcPr>
            <w:tcW w:w="6712" w:type="dxa"/>
            <w:tcBorders>
              <w:tl2br w:val="nil"/>
              <w:tr2bl w:val="nil"/>
            </w:tcBorders>
            <w:noWrap w:val="0"/>
            <w:vAlign w:val="center"/>
          </w:tcPr>
          <w:p w14:paraId="3FE0CEA1">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宋体" w:hAnsi="宋体" w:eastAsia="宋体"/>
                <w:color w:val="000000"/>
                <w:sz w:val="21"/>
                <w:szCs w:val="21"/>
              </w:rPr>
            </w:pPr>
            <w:r>
              <w:rPr>
                <w:rFonts w:hint="eastAsia" w:ascii="Times New Roman" w:hAnsi="Times New Roman" w:eastAsia="宋体" w:cs="Times New Roman"/>
                <w:bCs w:val="0"/>
                <w:sz w:val="21"/>
                <w:szCs w:val="21"/>
                <w:lang w:eastAsia="zh-CN"/>
              </w:rPr>
              <w:t>机具（院内清扫车、楼内清洁机、除草机、升降梯等）、设备的自控系统的维修保养。</w:t>
            </w:r>
          </w:p>
        </w:tc>
        <w:tc>
          <w:tcPr>
            <w:tcW w:w="1196" w:type="dxa"/>
            <w:tcBorders>
              <w:tl2br w:val="nil"/>
              <w:tr2bl w:val="nil"/>
            </w:tcBorders>
            <w:noWrap w:val="0"/>
            <w:vAlign w:val="center"/>
          </w:tcPr>
          <w:p w14:paraId="2A4896D7">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color w:val="000000"/>
                <w:sz w:val="21"/>
                <w:szCs w:val="21"/>
                <w:lang w:val="en-US" w:eastAsia="zh-CN"/>
              </w:rPr>
            </w:pPr>
            <w:r>
              <w:rPr>
                <w:rFonts w:hint="eastAsia" w:ascii="宋体" w:hAnsi="宋体"/>
                <w:color w:val="000000"/>
                <w:sz w:val="21"/>
                <w:szCs w:val="21"/>
                <w:lang w:val="en-US" w:eastAsia="zh-CN"/>
              </w:rPr>
              <w:t>1项</w:t>
            </w:r>
          </w:p>
        </w:tc>
      </w:tr>
      <w:tr w14:paraId="654A7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dxa"/>
            <w:tcBorders>
              <w:tl2br w:val="nil"/>
              <w:tr2bl w:val="nil"/>
            </w:tcBorders>
            <w:noWrap w:val="0"/>
            <w:vAlign w:val="center"/>
          </w:tcPr>
          <w:p w14:paraId="1C5C5821">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23</w:t>
            </w:r>
          </w:p>
        </w:tc>
        <w:tc>
          <w:tcPr>
            <w:tcW w:w="1485" w:type="dxa"/>
            <w:tcBorders>
              <w:tl2br w:val="nil"/>
              <w:tr2bl w:val="nil"/>
            </w:tcBorders>
            <w:noWrap w:val="0"/>
            <w:vAlign w:val="center"/>
          </w:tcPr>
          <w:p w14:paraId="1668EA6E">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Times New Roman" w:hAnsi="Times New Roman" w:eastAsia="宋体" w:cs="Times New Roman"/>
                <w:bCs w:val="0"/>
                <w:sz w:val="21"/>
                <w:szCs w:val="21"/>
                <w:lang w:eastAsia="zh-CN"/>
              </w:rPr>
            </w:pPr>
            <w:r>
              <w:rPr>
                <w:rFonts w:hint="eastAsia"/>
                <w:b w:val="0"/>
                <w:bCs w:val="0"/>
                <w:sz w:val="21"/>
                <w:szCs w:val="21"/>
                <w:lang w:val="en-US" w:eastAsia="zh-CN"/>
              </w:rPr>
              <w:t>协助采购人完成节约能源资源工作</w:t>
            </w:r>
          </w:p>
        </w:tc>
        <w:tc>
          <w:tcPr>
            <w:tcW w:w="6712" w:type="dxa"/>
            <w:tcBorders>
              <w:tl2br w:val="nil"/>
              <w:tr2bl w:val="nil"/>
            </w:tcBorders>
            <w:noWrap w:val="0"/>
            <w:vAlign w:val="center"/>
          </w:tcPr>
          <w:p w14:paraId="29C80715">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left"/>
              <w:rPr>
                <w:rFonts w:hint="eastAsia" w:ascii="Times New Roman" w:hAnsi="Times New Roman" w:eastAsia="宋体" w:cs="Times New Roman"/>
                <w:bCs w:val="0"/>
                <w:sz w:val="21"/>
                <w:szCs w:val="21"/>
                <w:lang w:eastAsia="zh-CN"/>
              </w:rPr>
            </w:pPr>
            <w:r>
              <w:rPr>
                <w:rFonts w:hint="eastAsia"/>
                <w:b w:val="0"/>
                <w:bCs w:val="0"/>
                <w:sz w:val="21"/>
                <w:szCs w:val="21"/>
                <w:lang w:val="en-US" w:eastAsia="zh-CN"/>
              </w:rPr>
              <w:t>对院内水、电能耗节约把控，维修物料的合理使用、生活垃圾分类等与采购人沟通协作，协助采购人完成节约能源资源任务</w:t>
            </w:r>
            <w:r>
              <w:rPr>
                <w:rFonts w:hint="eastAsia" w:ascii="宋体" w:hAnsi="宋体" w:cs="宋体"/>
                <w:bCs/>
                <w:sz w:val="21"/>
                <w:szCs w:val="21"/>
                <w:lang w:eastAsia="zh-CN"/>
              </w:rPr>
              <w:t>。</w:t>
            </w:r>
          </w:p>
        </w:tc>
        <w:tc>
          <w:tcPr>
            <w:tcW w:w="1196" w:type="dxa"/>
            <w:tcBorders>
              <w:tl2br w:val="nil"/>
              <w:tr2bl w:val="nil"/>
            </w:tcBorders>
            <w:noWrap w:val="0"/>
            <w:vAlign w:val="center"/>
          </w:tcPr>
          <w:p w14:paraId="67C1D6A2">
            <w:pPr>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0" w:firstLineChars="0"/>
              <w:jc w:val="center"/>
              <w:rPr>
                <w:rFonts w:hint="eastAsia" w:ascii="宋体" w:hAnsi="宋体"/>
                <w:color w:val="000000"/>
                <w:sz w:val="21"/>
                <w:szCs w:val="21"/>
                <w:lang w:val="en-US" w:eastAsia="zh-CN"/>
              </w:rPr>
            </w:pPr>
            <w:r>
              <w:rPr>
                <w:rFonts w:hint="eastAsia" w:ascii="宋体" w:hAnsi="宋体"/>
                <w:color w:val="000000"/>
                <w:sz w:val="21"/>
                <w:szCs w:val="21"/>
                <w:lang w:val="en-US" w:eastAsia="zh-CN"/>
              </w:rPr>
              <w:t>1项</w:t>
            </w:r>
          </w:p>
        </w:tc>
      </w:tr>
    </w:tbl>
    <w:p w14:paraId="1F04BC96">
      <w:pPr>
        <w:keepNext w:val="0"/>
        <w:keepLines w:val="0"/>
        <w:pageBreakBefore w:val="0"/>
        <w:widowControl w:val="0"/>
        <w:kinsoku/>
        <w:wordWrap/>
        <w:overflowPunct/>
        <w:topLinePunct w:val="0"/>
        <w:autoSpaceDE/>
        <w:autoSpaceDN/>
        <w:bidi w:val="0"/>
        <w:snapToGrid w:val="0"/>
        <w:spacing w:line="360" w:lineRule="auto"/>
        <w:rPr>
          <w:rFonts w:hint="eastAsia"/>
          <w:b/>
          <w:bCs/>
          <w:sz w:val="21"/>
          <w:szCs w:val="21"/>
          <w:lang w:val="en-US" w:eastAsia="zh-CN"/>
        </w:rPr>
      </w:pPr>
    </w:p>
    <w:p w14:paraId="06AF36B8">
      <w:pPr>
        <w:keepNext w:val="0"/>
        <w:keepLines w:val="0"/>
        <w:pageBreakBefore w:val="0"/>
        <w:widowControl w:val="0"/>
        <w:kinsoku/>
        <w:wordWrap/>
        <w:overflowPunct/>
        <w:topLinePunct w:val="0"/>
        <w:autoSpaceDE/>
        <w:autoSpaceDN/>
        <w:bidi w:val="0"/>
        <w:snapToGrid w:val="0"/>
        <w:spacing w:line="360" w:lineRule="auto"/>
        <w:rPr>
          <w:rFonts w:hint="eastAsia"/>
          <w:b/>
          <w:bCs/>
          <w:sz w:val="21"/>
          <w:szCs w:val="21"/>
          <w:lang w:val="en-US" w:eastAsia="zh-CN"/>
        </w:rPr>
        <w:sectPr>
          <w:pgSz w:w="11906" w:h="16838" w:orient="landscape"/>
          <w:pgMar w:top="1440" w:right="1134" w:bottom="1440" w:left="1134" w:header="851" w:footer="992" w:gutter="0"/>
          <w:pgBorders>
            <w:top w:val="none" w:sz="0" w:space="0"/>
            <w:left w:val="none" w:sz="0" w:space="0"/>
            <w:bottom w:val="none" w:sz="0" w:space="0"/>
            <w:right w:val="none" w:sz="0" w:space="0"/>
          </w:pgBorders>
          <w:cols w:space="425" w:num="1"/>
        </w:sectPr>
      </w:pPr>
    </w:p>
    <w:p w14:paraId="561F51A6">
      <w:pPr>
        <w:keepNext w:val="0"/>
        <w:keepLines w:val="0"/>
        <w:pageBreakBefore w:val="0"/>
        <w:widowControl w:val="0"/>
        <w:kinsoku/>
        <w:wordWrap/>
        <w:overflowPunct/>
        <w:topLinePunct w:val="0"/>
        <w:autoSpaceDE/>
        <w:autoSpaceDN/>
        <w:bidi w:val="0"/>
        <w:snapToGrid w:val="0"/>
        <w:spacing w:line="360" w:lineRule="auto"/>
        <w:rPr>
          <w:b/>
          <w:bCs/>
          <w:sz w:val="21"/>
          <w:szCs w:val="21"/>
        </w:rPr>
      </w:pPr>
      <w:r>
        <w:rPr>
          <w:rFonts w:hint="eastAsia"/>
          <w:b/>
          <w:bCs/>
          <w:sz w:val="21"/>
          <w:szCs w:val="21"/>
          <w:lang w:val="en-US" w:eastAsia="zh-CN"/>
        </w:rPr>
        <w:t>4.</w:t>
      </w:r>
      <w:r>
        <w:rPr>
          <w:rFonts w:hint="eastAsia"/>
          <w:b/>
          <w:bCs/>
          <w:sz w:val="21"/>
          <w:szCs w:val="21"/>
        </w:rPr>
        <w:t>服务标准</w:t>
      </w:r>
    </w:p>
    <w:p w14:paraId="545BEA71">
      <w:pPr>
        <w:pStyle w:val="5"/>
        <w:keepNext w:val="0"/>
        <w:keepLines w:val="0"/>
        <w:pageBreakBefore w:val="0"/>
        <w:widowControl w:val="0"/>
        <w:kinsoku/>
        <w:wordWrap/>
        <w:overflowPunct/>
        <w:topLinePunct w:val="0"/>
        <w:autoSpaceDE/>
        <w:autoSpaceDN/>
        <w:bidi w:val="0"/>
        <w:spacing w:line="360" w:lineRule="auto"/>
        <w:ind w:firstLine="0" w:firstLineChars="0"/>
        <w:rPr>
          <w:rFonts w:cs="Times New Roman"/>
          <w:b/>
          <w:sz w:val="21"/>
          <w:szCs w:val="21"/>
        </w:rPr>
      </w:pPr>
      <w:bookmarkStart w:id="1" w:name="_Toc30269"/>
      <w:r>
        <w:rPr>
          <w:rFonts w:hint="eastAsia" w:cs="Times New Roman"/>
          <w:b/>
          <w:sz w:val="21"/>
          <w:szCs w:val="21"/>
          <w:lang w:val="en-US" w:eastAsia="zh-CN"/>
        </w:rPr>
        <w:t>4.1清洁</w:t>
      </w:r>
      <w:r>
        <w:rPr>
          <w:rFonts w:cs="Times New Roman"/>
          <w:b/>
          <w:sz w:val="21"/>
          <w:szCs w:val="21"/>
        </w:rPr>
        <w:t>服务</w:t>
      </w:r>
      <w:bookmarkEnd w:id="1"/>
    </w:p>
    <w:p w14:paraId="4E39D428">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cs="Times New Roman"/>
          <w:sz w:val="21"/>
          <w:szCs w:val="21"/>
          <w:lang w:val="en-US" w:eastAsia="zh-CN"/>
        </w:rPr>
        <w:t>4.1.1</w:t>
      </w:r>
      <w:r>
        <w:rPr>
          <w:rFonts w:cs="Times New Roman"/>
          <w:sz w:val="21"/>
          <w:szCs w:val="21"/>
        </w:rPr>
        <w:t>楼内区域卫生</w:t>
      </w:r>
    </w:p>
    <w:p w14:paraId="055FCC07">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cs="Times New Roman"/>
          <w:sz w:val="21"/>
          <w:szCs w:val="21"/>
        </w:rPr>
        <w:t>1）地面：无废杂物、纸屑和污迹。</w:t>
      </w:r>
    </w:p>
    <w:p w14:paraId="71719430">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cs="Times New Roman"/>
          <w:sz w:val="21"/>
          <w:szCs w:val="21"/>
        </w:rPr>
        <w:t>2）墙面：踢脚线、消防排烟口、警铃、安全指示灯、各种标牌表面干净，无灰尘、水迹等。</w:t>
      </w:r>
    </w:p>
    <w:p w14:paraId="60475744">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cs="Times New Roman"/>
          <w:sz w:val="21"/>
          <w:szCs w:val="21"/>
        </w:rPr>
        <w:t>3）电梯厅：墙面、地面、门框电梯知识牌表面干净，无油痕、污迹、灰尘等。</w:t>
      </w:r>
    </w:p>
    <w:p w14:paraId="1459D876">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cs="Times New Roman"/>
          <w:sz w:val="21"/>
          <w:szCs w:val="21"/>
        </w:rPr>
        <w:t>4）玻璃窗（玻璃、窗框、窗帘、窗台）：明净、光洁。</w:t>
      </w:r>
    </w:p>
    <w:p w14:paraId="08C80E21">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cs="Times New Roman"/>
          <w:sz w:val="21"/>
          <w:szCs w:val="21"/>
        </w:rPr>
        <w:t>5）各种设施外表（如大堂前台、广告牌、信箱、消防栓箱等）：外表清洁干净，无积尘、污痕。</w:t>
      </w:r>
    </w:p>
    <w:p w14:paraId="6A69A7CC">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cs="Times New Roman"/>
          <w:sz w:val="21"/>
          <w:szCs w:val="21"/>
        </w:rPr>
        <w:t>6）楼梯（所管辖区域内的楼梯，防火梯）：无灰尘，无杂物。</w:t>
      </w:r>
    </w:p>
    <w:p w14:paraId="6BF8060A">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cs="Times New Roman"/>
          <w:sz w:val="21"/>
          <w:szCs w:val="21"/>
        </w:rPr>
        <w:t>7）扶手、栏杆：光洁、无积尘，玻璃无污迹。</w:t>
      </w:r>
    </w:p>
    <w:p w14:paraId="4C4BC349">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cs="Times New Roman"/>
          <w:sz w:val="21"/>
          <w:szCs w:val="21"/>
        </w:rPr>
        <w:t>8）门（各卫生区域内的门）：干净，无灰尘、污痕。</w:t>
      </w:r>
    </w:p>
    <w:p w14:paraId="39173A0C">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cs="Times New Roman"/>
          <w:sz w:val="21"/>
          <w:szCs w:val="21"/>
        </w:rPr>
        <w:t>9）电梯内卫生（墙、地面、门、天花板）：外表干净，无污痕、积尘、无脏杂物。</w:t>
      </w:r>
    </w:p>
    <w:p w14:paraId="671829AA">
      <w:pPr>
        <w:pStyle w:val="5"/>
        <w:keepNext w:val="0"/>
        <w:keepLines w:val="0"/>
        <w:pageBreakBefore w:val="0"/>
        <w:widowControl w:val="0"/>
        <w:kinsoku/>
        <w:wordWrap/>
        <w:overflowPunct/>
        <w:topLinePunct w:val="0"/>
        <w:autoSpaceDE/>
        <w:autoSpaceDN/>
        <w:bidi w:val="0"/>
        <w:spacing w:line="360" w:lineRule="auto"/>
        <w:ind w:firstLine="420"/>
        <w:rPr>
          <w:rFonts w:hint="eastAsia" w:cs="Times New Roman"/>
          <w:sz w:val="21"/>
          <w:szCs w:val="21"/>
          <w:lang w:val="en-US" w:eastAsia="zh-CN"/>
        </w:rPr>
      </w:pPr>
      <w:bookmarkStart w:id="2" w:name="_Toc10346"/>
      <w:r>
        <w:rPr>
          <w:rFonts w:hint="eastAsia" w:cs="Times New Roman"/>
          <w:sz w:val="21"/>
          <w:szCs w:val="21"/>
          <w:lang w:val="en-US" w:eastAsia="zh-CN"/>
        </w:rPr>
        <w:t>4.1.2楼外区域卫生</w:t>
      </w:r>
    </w:p>
    <w:p w14:paraId="15474E73">
      <w:pPr>
        <w:pStyle w:val="5"/>
        <w:keepNext w:val="0"/>
        <w:keepLines w:val="0"/>
        <w:pageBreakBefore w:val="0"/>
        <w:widowControl w:val="0"/>
        <w:kinsoku/>
        <w:wordWrap/>
        <w:overflowPunct/>
        <w:topLinePunct w:val="0"/>
        <w:autoSpaceDE/>
        <w:autoSpaceDN/>
        <w:bidi w:val="0"/>
        <w:spacing w:line="360" w:lineRule="auto"/>
        <w:ind w:firstLine="420"/>
        <w:rPr>
          <w:rFonts w:hint="eastAsia" w:cs="Times New Roman"/>
          <w:sz w:val="21"/>
          <w:szCs w:val="21"/>
          <w:lang w:val="en-US" w:eastAsia="zh-CN"/>
        </w:rPr>
      </w:pPr>
      <w:r>
        <w:rPr>
          <w:rFonts w:hint="eastAsia" w:cs="Times New Roman"/>
          <w:sz w:val="21"/>
          <w:szCs w:val="21"/>
          <w:lang w:val="en-US" w:eastAsia="zh-CN"/>
        </w:rPr>
        <w:t>1）所管区域地面和道理：路面整齐，干净，无垃圾，沙土，纸屑、油痕，无积水等。</w:t>
      </w:r>
    </w:p>
    <w:p w14:paraId="22B209A9">
      <w:pPr>
        <w:pStyle w:val="5"/>
        <w:keepNext w:val="0"/>
        <w:keepLines w:val="0"/>
        <w:pageBreakBefore w:val="0"/>
        <w:widowControl w:val="0"/>
        <w:kinsoku/>
        <w:wordWrap/>
        <w:overflowPunct/>
        <w:topLinePunct w:val="0"/>
        <w:autoSpaceDE/>
        <w:autoSpaceDN/>
        <w:bidi w:val="0"/>
        <w:spacing w:line="360" w:lineRule="auto"/>
        <w:ind w:firstLine="420"/>
        <w:rPr>
          <w:rFonts w:hint="eastAsia" w:cs="Times New Roman"/>
          <w:sz w:val="21"/>
          <w:szCs w:val="21"/>
          <w:lang w:val="en-US" w:eastAsia="zh-CN"/>
        </w:rPr>
      </w:pPr>
      <w:r>
        <w:rPr>
          <w:rFonts w:hint="eastAsia" w:cs="Times New Roman"/>
          <w:sz w:val="21"/>
          <w:szCs w:val="21"/>
          <w:lang w:val="en-US" w:eastAsia="zh-CN"/>
        </w:rPr>
        <w:t>2）绿化带、花草盆；无垃圾、脏杂物，花草叶无枯萎和明显积尘、花草盆无积水和异味，花草树木剪整齐，摆放美观。</w:t>
      </w:r>
    </w:p>
    <w:bookmarkEnd w:id="2"/>
    <w:p w14:paraId="3A6CBF72">
      <w:pPr>
        <w:keepNext w:val="0"/>
        <w:keepLines w:val="0"/>
        <w:pageBreakBefore w:val="0"/>
        <w:widowControl w:val="0"/>
        <w:kinsoku/>
        <w:wordWrap/>
        <w:overflowPunct/>
        <w:topLinePunct w:val="0"/>
        <w:autoSpaceDE/>
        <w:autoSpaceDN/>
        <w:bidi w:val="0"/>
        <w:adjustRightInd w:val="0"/>
        <w:spacing w:line="360" w:lineRule="auto"/>
        <w:rPr>
          <w:rFonts w:ascii="宋体" w:hAnsi="宋体"/>
          <w:b/>
          <w:kern w:val="0"/>
          <w:sz w:val="21"/>
          <w:szCs w:val="21"/>
        </w:rPr>
      </w:pPr>
      <w:r>
        <w:rPr>
          <w:rFonts w:hint="eastAsia" w:ascii="宋体" w:hAnsi="宋体"/>
          <w:b/>
          <w:kern w:val="0"/>
          <w:sz w:val="21"/>
          <w:szCs w:val="21"/>
          <w:lang w:val="en-US" w:eastAsia="zh-CN"/>
        </w:rPr>
        <w:t>4.2</w:t>
      </w:r>
      <w:r>
        <w:rPr>
          <w:rFonts w:ascii="宋体" w:hAnsi="宋体"/>
          <w:b/>
          <w:kern w:val="0"/>
          <w:sz w:val="21"/>
          <w:szCs w:val="21"/>
        </w:rPr>
        <w:t>办公区域接待服务</w:t>
      </w:r>
    </w:p>
    <w:p w14:paraId="65EA6786">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ascii="宋体" w:hAnsi="宋体"/>
          <w:kern w:val="0"/>
          <w:sz w:val="21"/>
          <w:szCs w:val="21"/>
          <w:highlight w:val="none"/>
        </w:rPr>
      </w:pPr>
      <w:r>
        <w:rPr>
          <w:rFonts w:hint="eastAsia" w:ascii="宋体" w:hAnsi="宋体"/>
          <w:kern w:val="0"/>
          <w:sz w:val="21"/>
          <w:szCs w:val="21"/>
          <w:highlight w:val="none"/>
          <w:lang w:val="en-US" w:eastAsia="zh-CN"/>
        </w:rPr>
        <w:t>4.2.1</w:t>
      </w:r>
      <w:r>
        <w:rPr>
          <w:rFonts w:hint="eastAsia" w:ascii="宋体" w:hAnsi="宋体"/>
          <w:kern w:val="0"/>
          <w:sz w:val="21"/>
          <w:szCs w:val="21"/>
          <w:highlight w:val="none"/>
        </w:rPr>
        <w:t>办公区域接待前引导</w:t>
      </w:r>
    </w:p>
    <w:p w14:paraId="17D9AC9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kern w:val="0"/>
          <w:sz w:val="21"/>
          <w:szCs w:val="21"/>
          <w:highlight w:val="none"/>
        </w:rPr>
      </w:pPr>
      <w:r>
        <w:rPr>
          <w:rFonts w:hint="eastAsia" w:ascii="宋体" w:hAnsi="宋体"/>
          <w:kern w:val="0"/>
          <w:sz w:val="21"/>
          <w:szCs w:val="21"/>
          <w:highlight w:val="none"/>
        </w:rPr>
        <w:t>做好办公区域接待场所卫生、布置引导、检查桌椅、主席台布置、检查设备等系列保障服务。</w:t>
      </w:r>
    </w:p>
    <w:p w14:paraId="1E53C707">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ascii="宋体" w:hAnsi="宋体"/>
          <w:kern w:val="0"/>
          <w:sz w:val="21"/>
          <w:szCs w:val="21"/>
          <w:highlight w:val="none"/>
        </w:rPr>
      </w:pPr>
      <w:r>
        <w:rPr>
          <w:rFonts w:hint="eastAsia" w:ascii="宋体" w:hAnsi="宋体"/>
          <w:kern w:val="0"/>
          <w:sz w:val="21"/>
          <w:szCs w:val="21"/>
          <w:highlight w:val="none"/>
          <w:lang w:val="en-US" w:eastAsia="zh-CN"/>
        </w:rPr>
        <w:t>4.2.2</w:t>
      </w:r>
      <w:r>
        <w:rPr>
          <w:rFonts w:hint="eastAsia" w:ascii="宋体" w:hAnsi="宋体"/>
          <w:kern w:val="0"/>
          <w:sz w:val="21"/>
          <w:szCs w:val="21"/>
          <w:highlight w:val="none"/>
        </w:rPr>
        <w:t>办公区域接待服务</w:t>
      </w:r>
    </w:p>
    <w:p w14:paraId="2F32328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kern w:val="0"/>
          <w:sz w:val="21"/>
          <w:szCs w:val="21"/>
          <w:highlight w:val="none"/>
        </w:rPr>
      </w:pPr>
      <w:r>
        <w:rPr>
          <w:rFonts w:hint="eastAsia" w:ascii="宋体" w:hAnsi="宋体"/>
          <w:kern w:val="0"/>
          <w:sz w:val="21"/>
          <w:szCs w:val="21"/>
          <w:highlight w:val="none"/>
        </w:rPr>
        <w:t>做好办公区域接待场所巡视、办公区域接待场所设备设施保障、接待人员服务等。</w:t>
      </w:r>
    </w:p>
    <w:p w14:paraId="7BD0E9DF">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ascii="宋体" w:hAnsi="宋体"/>
          <w:kern w:val="0"/>
          <w:sz w:val="21"/>
          <w:szCs w:val="21"/>
          <w:highlight w:val="none"/>
        </w:rPr>
      </w:pPr>
      <w:r>
        <w:rPr>
          <w:rFonts w:hint="eastAsia" w:ascii="宋体" w:hAnsi="宋体"/>
          <w:kern w:val="0"/>
          <w:sz w:val="21"/>
          <w:szCs w:val="21"/>
          <w:highlight w:val="none"/>
          <w:lang w:val="en-US" w:eastAsia="zh-CN"/>
        </w:rPr>
        <w:t>4.2.3</w:t>
      </w:r>
      <w:r>
        <w:rPr>
          <w:rFonts w:hint="eastAsia" w:ascii="宋体" w:hAnsi="宋体"/>
          <w:kern w:val="0"/>
          <w:sz w:val="21"/>
          <w:szCs w:val="21"/>
          <w:highlight w:val="none"/>
        </w:rPr>
        <w:t>办公区域接待后整理</w:t>
      </w:r>
    </w:p>
    <w:p w14:paraId="443D48A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kern w:val="0"/>
          <w:sz w:val="21"/>
          <w:szCs w:val="21"/>
          <w:highlight w:val="none"/>
        </w:rPr>
      </w:pPr>
      <w:r>
        <w:rPr>
          <w:rFonts w:hint="eastAsia" w:ascii="宋体" w:hAnsi="宋体"/>
          <w:kern w:val="0"/>
          <w:sz w:val="21"/>
          <w:szCs w:val="21"/>
          <w:highlight w:val="none"/>
        </w:rPr>
        <w:t>（1）回收可重复使用物品，清点数量并记录；</w:t>
      </w:r>
    </w:p>
    <w:p w14:paraId="2543B62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kern w:val="0"/>
          <w:sz w:val="21"/>
          <w:szCs w:val="21"/>
          <w:highlight w:val="none"/>
        </w:rPr>
      </w:pPr>
      <w:r>
        <w:rPr>
          <w:rFonts w:hint="eastAsia" w:ascii="宋体" w:hAnsi="宋体"/>
          <w:kern w:val="0"/>
          <w:sz w:val="21"/>
          <w:szCs w:val="21"/>
          <w:highlight w:val="none"/>
        </w:rPr>
        <w:t>（2）检查办公区域接待场所设施设备，做好记录；</w:t>
      </w:r>
    </w:p>
    <w:p w14:paraId="282A677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kern w:val="0"/>
          <w:sz w:val="21"/>
          <w:szCs w:val="21"/>
          <w:highlight w:val="none"/>
        </w:rPr>
      </w:pPr>
      <w:r>
        <w:rPr>
          <w:rFonts w:hint="eastAsia" w:ascii="宋体" w:hAnsi="宋体"/>
          <w:kern w:val="0"/>
          <w:sz w:val="21"/>
          <w:szCs w:val="21"/>
          <w:highlight w:val="none"/>
        </w:rPr>
        <w:t>（3）检查是否有现场遗失物品；检查办公区域接待场所物品是否有缺失或损坏；</w:t>
      </w:r>
    </w:p>
    <w:p w14:paraId="23BAB27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sz w:val="21"/>
          <w:szCs w:val="21"/>
        </w:rPr>
      </w:pPr>
      <w:r>
        <w:rPr>
          <w:rFonts w:hint="eastAsia" w:ascii="宋体" w:hAnsi="宋体"/>
          <w:kern w:val="0"/>
          <w:sz w:val="21"/>
          <w:szCs w:val="21"/>
          <w:highlight w:val="none"/>
        </w:rPr>
        <w:t>（4）关闭空调、照明设备、办公区域接待场所锁门。</w:t>
      </w:r>
    </w:p>
    <w:p w14:paraId="4015FCEF">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ascii="宋体" w:hAnsi="宋体"/>
          <w:b/>
          <w:kern w:val="0"/>
          <w:sz w:val="21"/>
          <w:szCs w:val="21"/>
          <w:highlight w:val="none"/>
        </w:rPr>
      </w:pPr>
      <w:bookmarkStart w:id="3" w:name="_Toc5049"/>
      <w:r>
        <w:rPr>
          <w:rFonts w:hint="eastAsia" w:ascii="宋体" w:hAnsi="宋体"/>
          <w:b/>
          <w:kern w:val="0"/>
          <w:sz w:val="21"/>
          <w:szCs w:val="21"/>
          <w:lang w:val="en-US" w:eastAsia="zh-CN"/>
        </w:rPr>
        <w:t>4.3</w:t>
      </w:r>
      <w:r>
        <w:rPr>
          <w:rFonts w:hint="eastAsia" w:ascii="宋体" w:hAnsi="宋体"/>
          <w:b/>
          <w:kern w:val="0"/>
          <w:sz w:val="21"/>
          <w:szCs w:val="21"/>
          <w:highlight w:val="none"/>
        </w:rPr>
        <w:t>基础设备设施维修保养和微型消防站服务</w:t>
      </w:r>
      <w:bookmarkEnd w:id="3"/>
    </w:p>
    <w:p w14:paraId="0CB72E4B">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ascii="宋体" w:hAnsi="宋体"/>
          <w:kern w:val="0"/>
          <w:sz w:val="21"/>
          <w:szCs w:val="21"/>
        </w:rPr>
      </w:pPr>
      <w:bookmarkStart w:id="4" w:name="_Toc65384297"/>
      <w:bookmarkStart w:id="5" w:name="_Toc56937127"/>
      <w:r>
        <w:rPr>
          <w:rFonts w:hint="eastAsia" w:ascii="宋体" w:hAnsi="宋体"/>
          <w:kern w:val="0"/>
          <w:sz w:val="21"/>
          <w:szCs w:val="21"/>
          <w:lang w:val="en-US" w:eastAsia="zh-CN"/>
        </w:rPr>
        <w:t>4.3.1</w:t>
      </w:r>
      <w:r>
        <w:rPr>
          <w:rFonts w:ascii="宋体" w:hAnsi="宋体"/>
          <w:kern w:val="0"/>
          <w:sz w:val="21"/>
          <w:szCs w:val="21"/>
        </w:rPr>
        <w:t>物业维修养护管理</w:t>
      </w:r>
      <w:bookmarkEnd w:id="4"/>
      <w:bookmarkEnd w:id="5"/>
    </w:p>
    <w:p w14:paraId="1FE0979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维护管理方式主要分为故障类维修、诊断性维护和预防性维护三类：</w:t>
      </w:r>
    </w:p>
    <w:p w14:paraId="1CBFC85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（1）故障类维修</w:t>
      </w:r>
    </w:p>
    <w:p w14:paraId="7AE4873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设备由于外界原因或产品质量问题造成意外故障而使设备损坏，这种紧急维修称为故障性维修。在迅速诊断故障部位后，通常采用更换备品备件的方式使设备在尽可能短的时间内恢复正常运行。</w:t>
      </w:r>
    </w:p>
    <w:p w14:paraId="5FE6F98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（2）诊断性维护</w:t>
      </w:r>
    </w:p>
    <w:p w14:paraId="144A1AC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设备能够正常运转，但由于正常运转产生磨损或产品隐含质量问题，产生如不正常的噪音、异味等，有可能影响设备的运转效率或出现故障的情况，经过诊断更换必要的部件或进行保养使设备恢复最佳运行状态，将其列为诊断性维护。</w:t>
      </w:r>
    </w:p>
    <w:p w14:paraId="36C2BAA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（3）预防性维护</w:t>
      </w:r>
    </w:p>
    <w:p w14:paraId="700A24B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预防性维护保养建立在科学、严谨的计划基础上，在设备使用期内进行定期保养和检测，防止设备可能发生的故障和损坏，同时定期预防性维护保养也要和日常维护保养相结合，一旦发生潜在的故障前兆就应该及时进行保养，对于一些小故障也不能轻易的放过。</w:t>
      </w:r>
    </w:p>
    <w:p w14:paraId="505596B4">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ascii="宋体" w:hAnsi="宋体"/>
          <w:color w:val="000000"/>
          <w:kern w:val="0"/>
          <w:sz w:val="21"/>
          <w:szCs w:val="21"/>
        </w:rPr>
      </w:pPr>
      <w:r>
        <w:rPr>
          <w:rFonts w:hint="eastAsia" w:ascii="宋体" w:hAnsi="宋体"/>
          <w:kern w:val="0"/>
          <w:sz w:val="21"/>
          <w:szCs w:val="21"/>
          <w:lang w:val="en-US" w:eastAsia="zh-CN"/>
        </w:rPr>
        <w:t>4.3.2</w:t>
      </w:r>
      <w:r>
        <w:rPr>
          <w:rFonts w:ascii="宋体" w:hAnsi="宋体"/>
          <w:color w:val="000000"/>
          <w:kern w:val="0"/>
          <w:sz w:val="21"/>
          <w:szCs w:val="21"/>
        </w:rPr>
        <w:t>房屋维修施工管理的基本内容</w:t>
      </w:r>
    </w:p>
    <w:p w14:paraId="333D5B7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color w:val="000000"/>
          <w:kern w:val="0"/>
          <w:sz w:val="21"/>
          <w:szCs w:val="21"/>
        </w:rPr>
      </w:pPr>
      <w:r>
        <w:rPr>
          <w:rFonts w:ascii="宋体" w:hAnsi="宋体"/>
          <w:color w:val="000000"/>
          <w:kern w:val="0"/>
          <w:sz w:val="21"/>
          <w:szCs w:val="21"/>
        </w:rPr>
        <w:t>（1）落实房屋维修任务，编制房屋维修计划、维修设计方案和施工组织设计。</w:t>
      </w:r>
    </w:p>
    <w:p w14:paraId="602C9A8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color w:val="000000"/>
          <w:kern w:val="0"/>
          <w:sz w:val="21"/>
          <w:szCs w:val="21"/>
        </w:rPr>
      </w:pPr>
      <w:r>
        <w:rPr>
          <w:rFonts w:ascii="宋体" w:hAnsi="宋体"/>
          <w:color w:val="000000"/>
          <w:kern w:val="0"/>
          <w:sz w:val="21"/>
          <w:szCs w:val="21"/>
        </w:rPr>
        <w:t>（2）做好维修工程开工前的准备工作，即水、电路通，并安排好材料堆放，设置安置场地。</w:t>
      </w:r>
    </w:p>
    <w:p w14:paraId="1DFBC1A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color w:val="000000"/>
          <w:kern w:val="0"/>
          <w:sz w:val="21"/>
          <w:szCs w:val="21"/>
        </w:rPr>
      </w:pPr>
      <w:r>
        <w:rPr>
          <w:rFonts w:ascii="宋体" w:hAnsi="宋体"/>
          <w:color w:val="000000"/>
          <w:kern w:val="0"/>
          <w:sz w:val="21"/>
          <w:szCs w:val="21"/>
        </w:rPr>
        <w:t>（3）制定合理的材料消耗定额和技术革新措施，在施工过程中进行经常的材料和技术管理工作。</w:t>
      </w:r>
    </w:p>
    <w:p w14:paraId="1F751C1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color w:val="000000"/>
          <w:kern w:val="0"/>
          <w:sz w:val="21"/>
          <w:szCs w:val="21"/>
        </w:rPr>
      </w:pPr>
      <w:r>
        <w:rPr>
          <w:rFonts w:ascii="宋体" w:hAnsi="宋体"/>
          <w:color w:val="000000"/>
          <w:kern w:val="0"/>
          <w:sz w:val="21"/>
          <w:szCs w:val="21"/>
        </w:rPr>
        <w:t>（4）在施工过程中严格质量控制和全面协调衔接。</w:t>
      </w:r>
    </w:p>
    <w:p w14:paraId="5A3C539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color w:val="000000"/>
          <w:kern w:val="0"/>
          <w:sz w:val="21"/>
          <w:szCs w:val="21"/>
        </w:rPr>
      </w:pPr>
      <w:r>
        <w:rPr>
          <w:rFonts w:ascii="宋体" w:hAnsi="宋体"/>
          <w:color w:val="000000"/>
          <w:kern w:val="0"/>
          <w:sz w:val="21"/>
          <w:szCs w:val="21"/>
        </w:rPr>
        <w:t>（5）加强对房屋维修现场的平面管理，合理利用空间。</w:t>
      </w:r>
    </w:p>
    <w:p w14:paraId="75F68CC8">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ascii="宋体" w:hAnsi="宋体"/>
          <w:color w:val="000000"/>
          <w:kern w:val="0"/>
          <w:sz w:val="21"/>
          <w:szCs w:val="21"/>
        </w:rPr>
      </w:pPr>
      <w:r>
        <w:rPr>
          <w:rFonts w:hint="eastAsia" w:ascii="宋体" w:hAnsi="宋体"/>
          <w:kern w:val="0"/>
          <w:sz w:val="21"/>
          <w:szCs w:val="21"/>
          <w:lang w:val="en-US" w:eastAsia="zh-CN"/>
        </w:rPr>
        <w:t>4.3.3</w:t>
      </w:r>
      <w:r>
        <w:rPr>
          <w:rFonts w:ascii="宋体" w:hAnsi="宋体"/>
          <w:color w:val="000000"/>
          <w:kern w:val="0"/>
          <w:sz w:val="21"/>
          <w:szCs w:val="21"/>
        </w:rPr>
        <w:t>房屋维修范围</w:t>
      </w:r>
    </w:p>
    <w:p w14:paraId="489B81C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color w:val="000000"/>
          <w:kern w:val="0"/>
          <w:sz w:val="21"/>
          <w:szCs w:val="21"/>
        </w:rPr>
      </w:pPr>
      <w:r>
        <w:rPr>
          <w:rFonts w:ascii="宋体" w:hAnsi="宋体"/>
          <w:kern w:val="0"/>
          <w:sz w:val="21"/>
          <w:szCs w:val="21"/>
        </w:rPr>
        <w:t>（1）</w:t>
      </w:r>
      <w:r>
        <w:rPr>
          <w:rFonts w:ascii="宋体" w:hAnsi="宋体"/>
          <w:color w:val="000000"/>
          <w:kern w:val="0"/>
          <w:sz w:val="21"/>
          <w:szCs w:val="21"/>
        </w:rPr>
        <w:t>主体结构、梁、柱、楼地面、屋面、墙体、基础等损坏，或外力创击造成的损坏。</w:t>
      </w:r>
    </w:p>
    <w:p w14:paraId="53684E7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color w:val="000000"/>
          <w:kern w:val="0"/>
          <w:sz w:val="21"/>
          <w:szCs w:val="21"/>
        </w:rPr>
      </w:pPr>
      <w:r>
        <w:rPr>
          <w:rFonts w:ascii="宋体" w:hAnsi="宋体"/>
          <w:color w:val="000000"/>
          <w:kern w:val="0"/>
          <w:sz w:val="21"/>
          <w:szCs w:val="21"/>
        </w:rPr>
        <w:t>（2）房屋内部：墙面抹灰、起壳、开裂、空鼓、剥落，地面起砂、空鼓、裂缝，屋面渗漏现象，卫生间墙面瓷砖脱落，屋面漏水，下水管道堵塞等。</w:t>
      </w:r>
    </w:p>
    <w:p w14:paraId="53BD73C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color w:val="000000"/>
          <w:kern w:val="0"/>
          <w:sz w:val="21"/>
          <w:szCs w:val="21"/>
        </w:rPr>
      </w:pPr>
      <w:r>
        <w:rPr>
          <w:rFonts w:ascii="宋体" w:hAnsi="宋体"/>
          <w:color w:val="000000"/>
          <w:kern w:val="0"/>
          <w:sz w:val="21"/>
          <w:szCs w:val="21"/>
        </w:rPr>
        <w:t>（3）外墙面：面砖缺损、掉角，涂料起皮、剥落等。</w:t>
      </w:r>
    </w:p>
    <w:p w14:paraId="578BB81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color w:val="000000"/>
          <w:kern w:val="0"/>
          <w:sz w:val="21"/>
          <w:szCs w:val="21"/>
        </w:rPr>
      </w:pPr>
      <w:r>
        <w:rPr>
          <w:rFonts w:ascii="宋体" w:hAnsi="宋体"/>
          <w:color w:val="000000"/>
          <w:kern w:val="0"/>
          <w:sz w:val="21"/>
          <w:szCs w:val="21"/>
        </w:rPr>
        <w:t>（4）室外工程：坡道、散水、破损下沉，水泥路面不平整积水，裂缝破损，路牙砖损坏等。</w:t>
      </w:r>
    </w:p>
    <w:p w14:paraId="1C71770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color w:val="000000"/>
          <w:kern w:val="0"/>
          <w:sz w:val="21"/>
          <w:szCs w:val="21"/>
        </w:rPr>
      </w:pPr>
      <w:r>
        <w:rPr>
          <w:rFonts w:ascii="宋体" w:hAnsi="宋体"/>
          <w:color w:val="000000"/>
          <w:kern w:val="0"/>
          <w:sz w:val="21"/>
          <w:szCs w:val="21"/>
        </w:rPr>
        <w:t>（5）外防火梯，及露天设备锈蚀严重，油漆剥落等。</w:t>
      </w:r>
    </w:p>
    <w:p w14:paraId="5BB6EA2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eastAsia="宋体"/>
          <w:color w:val="000000"/>
          <w:kern w:val="0"/>
          <w:sz w:val="21"/>
          <w:szCs w:val="21"/>
          <w:lang w:eastAsia="zh-CN"/>
        </w:rPr>
      </w:pPr>
      <w:r>
        <w:rPr>
          <w:rFonts w:hint="eastAsia" w:ascii="宋体" w:hAnsi="宋体"/>
          <w:kern w:val="0"/>
          <w:sz w:val="21"/>
          <w:szCs w:val="21"/>
          <w:lang w:val="en-US" w:eastAsia="zh-CN"/>
        </w:rPr>
        <w:t>4.3.4</w:t>
      </w:r>
      <w:r>
        <w:rPr>
          <w:rFonts w:hint="eastAsia" w:ascii="宋体" w:hAnsi="宋体"/>
          <w:color w:val="000000"/>
          <w:kern w:val="0"/>
          <w:sz w:val="21"/>
          <w:szCs w:val="21"/>
        </w:rPr>
        <w:t>微型消防站服务</w:t>
      </w:r>
      <w:r>
        <w:rPr>
          <w:rFonts w:hint="eastAsia" w:ascii="宋体" w:hAnsi="宋体"/>
          <w:color w:val="000000"/>
          <w:kern w:val="0"/>
          <w:sz w:val="21"/>
          <w:szCs w:val="21"/>
          <w:lang w:eastAsia="zh-CN"/>
        </w:rPr>
        <w:t>内容</w:t>
      </w:r>
    </w:p>
    <w:p w14:paraId="74947F3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（1）初起火灾扑救</w:t>
      </w:r>
    </w:p>
    <w:p w14:paraId="7D3D639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接到火警信息后，通知就近的微型消防站人员立即赶赴现场核实火情，核实后立即向站长和消防控制室值班操作人员反馈情况；靠近火场时，佩戴消防自救呼吸器，组织在场单位员工使用就近的消火栓、消防软管卷盘、灭火器、灭火毯等设施器材展开初起火灾扑救行动。</w:t>
      </w:r>
    </w:p>
    <w:p w14:paraId="76F1976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2）火警信息确认后，应立即拨打119报警。微型消防站人员随时保持与辖区消防救援队站和周边联防联控力量的通讯联络，同步组织开展人员疏散、火场警戒等处置行动，提前畅通消防车通道，确认消防水源位置，引导消防救援队伍到场处置。</w:t>
      </w:r>
    </w:p>
    <w:p w14:paraId="7AED9AF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3）辖区消防救援队伍到场后，微型消防站协助开展火灾处置等相关工作。</w:t>
      </w:r>
    </w:p>
    <w:p w14:paraId="34F75B2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 xml:space="preserve">（2）日常消防工作 </w:t>
      </w:r>
    </w:p>
    <w:p w14:paraId="3F7A6EB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kern w:val="0"/>
          <w:sz w:val="21"/>
          <w:szCs w:val="21"/>
          <w:lang w:val="en-US" w:eastAsia="zh-CN"/>
        </w:rPr>
      </w:pPr>
      <w:r>
        <w:rPr>
          <w:rFonts w:hint="eastAsia" w:ascii="宋体" w:hAnsi="宋体"/>
          <w:color w:val="000000"/>
          <w:kern w:val="0"/>
          <w:sz w:val="21"/>
          <w:szCs w:val="21"/>
          <w:lang w:val="en-US" w:eastAsia="zh-CN"/>
        </w:rPr>
        <w:t>1）防火巡查。熟悉本单位建构筑物功能布局、消防安全重点部位、</w:t>
      </w:r>
      <w:r>
        <w:rPr>
          <w:rFonts w:hint="eastAsia" w:ascii="宋体" w:hAnsi="宋体"/>
          <w:kern w:val="0"/>
          <w:sz w:val="21"/>
          <w:szCs w:val="21"/>
          <w:lang w:val="en-US" w:eastAsia="zh-CN"/>
        </w:rPr>
        <w:t>消防设施器材、道路交通、消防水源、安全出口等情况；根据单位消防安全制度，参与防火巡查；对巡查发现的火灾隐患及时纠正，无法立即整改的，报告单位消防安全管理人或消防工作的归口管理职能部门负责人研究解决，形成工作闭环。</w:t>
      </w:r>
    </w:p>
    <w:p w14:paraId="2562E05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kern w:val="0"/>
          <w:sz w:val="21"/>
          <w:szCs w:val="21"/>
          <w:lang w:val="en-US" w:eastAsia="zh-CN"/>
        </w:rPr>
      </w:pPr>
      <w:r>
        <w:rPr>
          <w:rFonts w:hint="eastAsia" w:ascii="宋体" w:hAnsi="宋体"/>
          <w:color w:val="000000"/>
          <w:kern w:val="0"/>
          <w:sz w:val="21"/>
          <w:szCs w:val="21"/>
          <w:lang w:val="en-US" w:eastAsia="zh-CN"/>
        </w:rPr>
        <w:t>2）</w:t>
      </w:r>
      <w:r>
        <w:rPr>
          <w:rFonts w:hint="eastAsia" w:ascii="宋体" w:hAnsi="宋体"/>
          <w:kern w:val="0"/>
          <w:sz w:val="21"/>
          <w:szCs w:val="21"/>
          <w:lang w:val="en-US" w:eastAsia="zh-CN"/>
        </w:rPr>
        <w:t>消防知识普及。定期向单位员工普及防火、灭火、逃生的消防安全常识，培训及时报警、消防器材使用、快速引导群众疏散逃生等消防安全技能，开展火灾案例警示宣传、防火提示提醒。</w:t>
      </w:r>
    </w:p>
    <w:p w14:paraId="105A61F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kern w:val="0"/>
          <w:sz w:val="21"/>
          <w:szCs w:val="21"/>
          <w:lang w:val="en-US" w:eastAsia="zh-CN"/>
        </w:rPr>
      </w:pPr>
      <w:r>
        <w:rPr>
          <w:rFonts w:hint="eastAsia" w:ascii="宋体" w:hAnsi="宋体"/>
          <w:color w:val="000000"/>
          <w:kern w:val="0"/>
          <w:sz w:val="21"/>
          <w:szCs w:val="21"/>
          <w:lang w:val="en-US" w:eastAsia="zh-CN"/>
        </w:rPr>
        <w:t>3）</w:t>
      </w:r>
      <w:r>
        <w:rPr>
          <w:rFonts w:hint="eastAsia" w:ascii="宋体" w:hAnsi="宋体"/>
          <w:kern w:val="0"/>
          <w:sz w:val="21"/>
          <w:szCs w:val="21"/>
          <w:lang w:val="en-US" w:eastAsia="zh-CN"/>
        </w:rPr>
        <w:t>预案演练。微型消防站站长应配合制定并修订灭火和应急疏散预案，组织单位员工开展疏散逃生演练。队员需熟悉灭火和应急疏散预案、建筑消防设施等情况，定期开展灭火救援演练。</w:t>
      </w:r>
    </w:p>
    <w:p w14:paraId="1B37345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kern w:val="0"/>
          <w:sz w:val="21"/>
          <w:szCs w:val="21"/>
          <w:lang w:val="en-US" w:eastAsia="zh-CN"/>
        </w:rPr>
      </w:pPr>
      <w:r>
        <w:rPr>
          <w:rFonts w:hint="eastAsia" w:ascii="宋体" w:hAnsi="宋体"/>
          <w:color w:val="000000"/>
          <w:kern w:val="0"/>
          <w:sz w:val="21"/>
          <w:szCs w:val="21"/>
          <w:lang w:val="en-US" w:eastAsia="zh-CN"/>
        </w:rPr>
        <w:t>（3）</w:t>
      </w:r>
      <w:r>
        <w:rPr>
          <w:rFonts w:hint="eastAsia" w:ascii="宋体" w:hAnsi="宋体"/>
          <w:kern w:val="0"/>
          <w:sz w:val="21"/>
          <w:szCs w:val="21"/>
          <w:lang w:val="en-US" w:eastAsia="zh-CN"/>
        </w:rPr>
        <w:t>值守联动</w:t>
      </w:r>
    </w:p>
    <w:p w14:paraId="074511F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kern w:val="0"/>
          <w:sz w:val="21"/>
          <w:szCs w:val="21"/>
          <w:lang w:val="en-US" w:eastAsia="zh-CN"/>
        </w:rPr>
      </w:pPr>
      <w:r>
        <w:rPr>
          <w:rFonts w:hint="eastAsia" w:ascii="宋体" w:hAnsi="宋体"/>
          <w:kern w:val="0"/>
          <w:sz w:val="21"/>
          <w:szCs w:val="21"/>
          <w:lang w:val="en-US" w:eastAsia="zh-CN"/>
        </w:rPr>
        <w:t>鼓励有条件的微型消防站接入当地消防救援部门119接处警系统，通过建立通信值守台、配备公网对讲机、接入可视化运管平台与辖区消防救援部门实现“队队直联”，建立联勤联训联调联战工作机制。辖区消防救援部门应定期对微型消防站开展工作指导、拉动演练、调度抽查。</w:t>
      </w:r>
    </w:p>
    <w:p w14:paraId="629D691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kern w:val="0"/>
          <w:sz w:val="21"/>
          <w:szCs w:val="21"/>
          <w:lang w:val="en-US" w:eastAsia="zh-CN"/>
        </w:rPr>
      </w:pPr>
      <w:r>
        <w:rPr>
          <w:rFonts w:hint="eastAsia" w:ascii="宋体" w:hAnsi="宋体"/>
          <w:kern w:val="0"/>
          <w:sz w:val="21"/>
          <w:szCs w:val="21"/>
          <w:lang w:val="en-US" w:eastAsia="zh-CN"/>
        </w:rPr>
        <w:t>微型消防站实行分班编组和值班值守制度，落实工作时间段和非工作时间段“定岗、定人、定责”要求，随时做好初起火灾扑救准备。</w:t>
      </w:r>
    </w:p>
    <w:p w14:paraId="788F57F9">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宋体" w:hAnsi="宋体"/>
          <w:kern w:val="0"/>
          <w:sz w:val="21"/>
          <w:szCs w:val="21"/>
          <w:lang w:val="en-US" w:eastAsia="zh-CN"/>
        </w:rPr>
      </w:pPr>
      <w:r>
        <w:rPr>
          <w:rFonts w:hint="eastAsia" w:ascii="宋体" w:hAnsi="宋体"/>
          <w:kern w:val="0"/>
          <w:sz w:val="21"/>
          <w:szCs w:val="21"/>
          <w:lang w:val="en-US" w:eastAsia="zh-CN"/>
        </w:rPr>
        <w:t>火情处置以3分钟到场、5分钟联动为原则，建立微型消防站应急响应机制。</w:t>
      </w:r>
    </w:p>
    <w:p w14:paraId="2BC16D74">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b/>
          <w:bCs/>
          <w:kern w:val="0"/>
          <w:sz w:val="21"/>
          <w:szCs w:val="21"/>
          <w:lang w:val="en-US" w:eastAsia="zh-CN"/>
        </w:rPr>
      </w:pPr>
      <w:r>
        <w:rPr>
          <w:rFonts w:hint="eastAsia" w:ascii="宋体" w:hAnsi="宋体"/>
          <w:b/>
          <w:bCs/>
          <w:kern w:val="0"/>
          <w:sz w:val="21"/>
          <w:szCs w:val="21"/>
          <w:lang w:val="en-US" w:eastAsia="zh-CN"/>
        </w:rPr>
        <w:t>4.4高压配电室值守服务</w:t>
      </w:r>
    </w:p>
    <w:p w14:paraId="58406BFF">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kern w:val="0"/>
          <w:sz w:val="21"/>
          <w:szCs w:val="21"/>
          <w:lang w:val="en-US" w:eastAsia="zh-CN"/>
        </w:rPr>
      </w:pPr>
      <w:r>
        <w:rPr>
          <w:rFonts w:hint="eastAsia" w:ascii="宋体" w:hAnsi="宋体"/>
          <w:kern w:val="0"/>
          <w:sz w:val="21"/>
          <w:szCs w:val="21"/>
          <w:lang w:val="en-US" w:eastAsia="zh-CN"/>
        </w:rPr>
        <w:t>4.4.1人员资质与配置</w:t>
      </w:r>
    </w:p>
    <w:p w14:paraId="74A05D96">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kern w:val="0"/>
          <w:sz w:val="21"/>
          <w:szCs w:val="21"/>
          <w:lang w:val="en-US" w:eastAsia="zh-CN"/>
        </w:rPr>
      </w:pPr>
      <w:r>
        <w:rPr>
          <w:rFonts w:hint="eastAsia" w:ascii="宋体" w:hAnsi="宋体"/>
          <w:color w:val="000000"/>
          <w:kern w:val="0"/>
          <w:sz w:val="21"/>
          <w:szCs w:val="21"/>
          <w:lang w:val="en-US" w:eastAsia="zh-CN"/>
        </w:rPr>
        <w:t>（1）</w:t>
      </w:r>
      <w:r>
        <w:rPr>
          <w:rFonts w:hint="eastAsia" w:ascii="宋体" w:hAnsi="宋体"/>
          <w:kern w:val="0"/>
          <w:sz w:val="21"/>
          <w:szCs w:val="21"/>
          <w:lang w:val="en-US" w:eastAsia="zh-CN"/>
        </w:rPr>
        <w:t>持证上岗：持高压电工特种作业证、进网作业许可证，经安全与实操培训合格。</w:t>
      </w:r>
    </w:p>
    <w:p w14:paraId="5EA54676">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kern w:val="0"/>
          <w:sz w:val="21"/>
          <w:szCs w:val="21"/>
          <w:lang w:val="en-US" w:eastAsia="zh-CN"/>
        </w:rPr>
      </w:pPr>
      <w:r>
        <w:rPr>
          <w:rFonts w:hint="eastAsia" w:ascii="宋体" w:hAnsi="宋体"/>
          <w:color w:val="000000"/>
          <w:kern w:val="0"/>
          <w:sz w:val="21"/>
          <w:szCs w:val="21"/>
          <w:lang w:val="en-US" w:eastAsia="zh-CN"/>
        </w:rPr>
        <w:t>（2）</w:t>
      </w:r>
      <w:r>
        <w:rPr>
          <w:rFonts w:hint="eastAsia" w:ascii="宋体" w:hAnsi="宋体"/>
          <w:kern w:val="0"/>
          <w:sz w:val="21"/>
          <w:szCs w:val="21"/>
          <w:lang w:val="en-US" w:eastAsia="zh-CN"/>
        </w:rPr>
        <w:t>值班配置：24小时专人值守，每班≥2人；严禁单人进入高压区/独立操作。</w:t>
      </w:r>
    </w:p>
    <w:p w14:paraId="352127DF">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kern w:val="0"/>
          <w:sz w:val="21"/>
          <w:szCs w:val="21"/>
          <w:lang w:val="en-US" w:eastAsia="zh-CN"/>
        </w:rPr>
      </w:pPr>
      <w:r>
        <w:rPr>
          <w:rFonts w:hint="eastAsia" w:ascii="宋体" w:hAnsi="宋体"/>
          <w:color w:val="000000"/>
          <w:kern w:val="0"/>
          <w:sz w:val="21"/>
          <w:szCs w:val="21"/>
          <w:lang w:val="en-US" w:eastAsia="zh-CN"/>
        </w:rPr>
        <w:t>（3）</w:t>
      </w:r>
      <w:r>
        <w:rPr>
          <w:rFonts w:hint="eastAsia" w:ascii="宋体" w:hAnsi="宋体"/>
          <w:kern w:val="0"/>
          <w:sz w:val="21"/>
          <w:szCs w:val="21"/>
          <w:lang w:val="en-US" w:eastAsia="zh-CN"/>
        </w:rPr>
        <w:t>纪律要求：提前15分钟到岗；严禁脱岗、饮酒、睡觉、玩手机；手机保持畅通。</w:t>
      </w:r>
    </w:p>
    <w:p w14:paraId="2B3CD163">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kern w:val="0"/>
          <w:sz w:val="21"/>
          <w:szCs w:val="21"/>
          <w:lang w:val="en-US" w:eastAsia="zh-CN"/>
        </w:rPr>
      </w:pPr>
      <w:r>
        <w:rPr>
          <w:rFonts w:hint="eastAsia" w:ascii="宋体" w:hAnsi="宋体"/>
          <w:kern w:val="0"/>
          <w:sz w:val="21"/>
          <w:szCs w:val="21"/>
          <w:lang w:val="en-US" w:eastAsia="zh-CN"/>
        </w:rPr>
        <w:t>4.4.2值班与交接班制度</w:t>
      </w:r>
    </w:p>
    <w:p w14:paraId="4D8D26A3">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kern w:val="0"/>
          <w:sz w:val="21"/>
          <w:szCs w:val="21"/>
          <w:lang w:val="en-US" w:eastAsia="zh-CN"/>
        </w:rPr>
      </w:pPr>
      <w:r>
        <w:rPr>
          <w:rFonts w:hint="eastAsia" w:ascii="宋体" w:hAnsi="宋体"/>
          <w:color w:val="000000"/>
          <w:kern w:val="0"/>
          <w:sz w:val="21"/>
          <w:szCs w:val="21"/>
          <w:lang w:val="en-US" w:eastAsia="zh-CN"/>
        </w:rPr>
        <w:t>（1）</w:t>
      </w:r>
      <w:r>
        <w:rPr>
          <w:rFonts w:hint="eastAsia" w:ascii="宋体" w:hAnsi="宋体"/>
          <w:kern w:val="0"/>
          <w:sz w:val="21"/>
          <w:szCs w:val="21"/>
          <w:lang w:val="en-US" w:eastAsia="zh-CN"/>
        </w:rPr>
        <w:t>值班纪律</w:t>
      </w:r>
    </w:p>
    <w:p w14:paraId="70234D0E">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kern w:val="0"/>
          <w:sz w:val="21"/>
          <w:szCs w:val="21"/>
          <w:lang w:val="en-US" w:eastAsia="zh-CN"/>
        </w:rPr>
      </w:pPr>
      <w:r>
        <w:rPr>
          <w:rFonts w:hint="eastAsia" w:ascii="宋体" w:hAnsi="宋体"/>
          <w:kern w:val="0"/>
          <w:sz w:val="21"/>
          <w:szCs w:val="21"/>
          <w:lang w:val="en-US" w:eastAsia="zh-CN"/>
        </w:rPr>
        <w:t>实时监控电压、电流、功率因数、温度、开关状态等参数。</w:t>
      </w:r>
    </w:p>
    <w:p w14:paraId="2DD9B0D3">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kern w:val="0"/>
          <w:sz w:val="21"/>
          <w:szCs w:val="21"/>
          <w:lang w:val="en-US" w:eastAsia="zh-CN"/>
        </w:rPr>
      </w:pPr>
      <w:r>
        <w:rPr>
          <w:rFonts w:hint="eastAsia" w:ascii="宋体" w:hAnsi="宋体"/>
          <w:kern w:val="0"/>
          <w:sz w:val="21"/>
          <w:szCs w:val="21"/>
          <w:lang w:val="en-US" w:eastAsia="zh-CN"/>
        </w:rPr>
        <w:t>严禁擅自操作、越权操作；非值班人员禁止操作。</w:t>
      </w:r>
    </w:p>
    <w:p w14:paraId="12650C0B">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kern w:val="0"/>
          <w:sz w:val="21"/>
          <w:szCs w:val="21"/>
          <w:lang w:val="en-US" w:eastAsia="zh-CN"/>
        </w:rPr>
      </w:pPr>
      <w:r>
        <w:rPr>
          <w:rFonts w:hint="eastAsia" w:ascii="宋体" w:hAnsi="宋体"/>
          <w:kern w:val="0"/>
          <w:sz w:val="21"/>
          <w:szCs w:val="21"/>
          <w:lang w:val="en-US" w:eastAsia="zh-CN"/>
        </w:rPr>
        <w:t>外来人员须审批、登记，专人陪同。</w:t>
      </w:r>
    </w:p>
    <w:p w14:paraId="2418BD52">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kern w:val="0"/>
          <w:sz w:val="21"/>
          <w:szCs w:val="21"/>
          <w:lang w:val="en-US" w:eastAsia="zh-CN"/>
        </w:rPr>
      </w:pPr>
      <w:r>
        <w:rPr>
          <w:rFonts w:hint="eastAsia" w:ascii="宋体" w:hAnsi="宋体"/>
          <w:color w:val="000000"/>
          <w:kern w:val="0"/>
          <w:sz w:val="21"/>
          <w:szCs w:val="21"/>
          <w:lang w:val="en-US" w:eastAsia="zh-CN"/>
        </w:rPr>
        <w:t>（2）</w:t>
      </w:r>
      <w:r>
        <w:rPr>
          <w:rFonts w:hint="eastAsia" w:ascii="宋体" w:hAnsi="宋体"/>
          <w:kern w:val="0"/>
          <w:sz w:val="21"/>
          <w:szCs w:val="21"/>
          <w:lang w:val="en-US" w:eastAsia="zh-CN"/>
        </w:rPr>
        <w:t>交接班</w:t>
      </w:r>
    </w:p>
    <w:p w14:paraId="707DA766">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kern w:val="0"/>
          <w:sz w:val="21"/>
          <w:szCs w:val="21"/>
          <w:lang w:val="en-US" w:eastAsia="zh-CN"/>
        </w:rPr>
      </w:pPr>
      <w:r>
        <w:rPr>
          <w:rFonts w:hint="eastAsia" w:ascii="宋体" w:hAnsi="宋体"/>
          <w:kern w:val="0"/>
          <w:sz w:val="21"/>
          <w:szCs w:val="21"/>
          <w:lang w:val="en-US" w:eastAsia="zh-CN"/>
        </w:rPr>
        <w:t>交接内容：运行方式、设备缺陷/处理、未完成操作、安全措施、工具/备件/钥匙、告警记录。</w:t>
      </w:r>
    </w:p>
    <w:p w14:paraId="4E4E92FE">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kern w:val="0"/>
          <w:sz w:val="21"/>
          <w:szCs w:val="21"/>
          <w:lang w:val="en-US" w:eastAsia="zh-CN"/>
        </w:rPr>
      </w:pPr>
      <w:r>
        <w:rPr>
          <w:rFonts w:hint="eastAsia" w:ascii="宋体" w:hAnsi="宋体"/>
          <w:kern w:val="0"/>
          <w:sz w:val="21"/>
          <w:szCs w:val="21"/>
          <w:lang w:val="en-US" w:eastAsia="zh-CN"/>
        </w:rPr>
        <w:t>禁止交接：事故处理中、停送电操作中、异常未处置时。</w:t>
      </w:r>
    </w:p>
    <w:p w14:paraId="70709652">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kern w:val="0"/>
          <w:sz w:val="21"/>
          <w:szCs w:val="21"/>
          <w:lang w:val="en-US" w:eastAsia="zh-CN"/>
        </w:rPr>
      </w:pPr>
      <w:r>
        <w:rPr>
          <w:rFonts w:hint="eastAsia" w:ascii="宋体" w:hAnsi="宋体"/>
          <w:kern w:val="0"/>
          <w:sz w:val="21"/>
          <w:szCs w:val="21"/>
          <w:lang w:val="en-US" w:eastAsia="zh-CN"/>
        </w:rPr>
        <w:t>-记录：双方签字，精确到分钟；日志保存≥3年。</w:t>
      </w:r>
    </w:p>
    <w:p w14:paraId="37DA2B48">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kern w:val="0"/>
          <w:sz w:val="21"/>
          <w:szCs w:val="21"/>
          <w:lang w:val="en-US" w:eastAsia="zh-CN"/>
        </w:rPr>
      </w:pPr>
      <w:r>
        <w:rPr>
          <w:rFonts w:hint="eastAsia" w:ascii="宋体" w:hAnsi="宋体"/>
          <w:kern w:val="0"/>
          <w:sz w:val="21"/>
          <w:szCs w:val="21"/>
          <w:lang w:val="en-US" w:eastAsia="zh-CN"/>
        </w:rPr>
        <w:t>4.4.3巡检标准</w:t>
      </w:r>
    </w:p>
    <w:p w14:paraId="5C810D91">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kern w:val="0"/>
          <w:sz w:val="21"/>
          <w:szCs w:val="21"/>
          <w:lang w:val="en-US" w:eastAsia="zh-CN"/>
        </w:rPr>
      </w:pPr>
      <w:r>
        <w:rPr>
          <w:rFonts w:hint="eastAsia" w:ascii="宋体" w:hAnsi="宋体"/>
          <w:color w:val="000000"/>
          <w:kern w:val="0"/>
          <w:sz w:val="21"/>
          <w:szCs w:val="21"/>
          <w:lang w:val="en-US" w:eastAsia="zh-CN"/>
        </w:rPr>
        <w:t>（1）</w:t>
      </w:r>
      <w:r>
        <w:rPr>
          <w:rFonts w:hint="eastAsia" w:ascii="宋体" w:hAnsi="宋体"/>
          <w:kern w:val="0"/>
          <w:sz w:val="21"/>
          <w:szCs w:val="21"/>
          <w:lang w:val="en-US" w:eastAsia="zh-CN"/>
        </w:rPr>
        <w:t>巡检频次</w:t>
      </w:r>
    </w:p>
    <w:p w14:paraId="1DD8A34C">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kern w:val="0"/>
          <w:sz w:val="21"/>
          <w:szCs w:val="21"/>
          <w:lang w:val="en-US" w:eastAsia="zh-CN"/>
        </w:rPr>
      </w:pPr>
      <w:r>
        <w:rPr>
          <w:rFonts w:hint="eastAsia" w:ascii="宋体" w:hAnsi="宋体"/>
          <w:kern w:val="0"/>
          <w:sz w:val="21"/>
          <w:szCs w:val="21"/>
          <w:lang w:val="en-US" w:eastAsia="zh-CN"/>
        </w:rPr>
        <w:t>日常：每日≥2次（白/夜班各1）。</w:t>
      </w:r>
    </w:p>
    <w:p w14:paraId="2F1D2E26">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kern w:val="0"/>
          <w:sz w:val="21"/>
          <w:szCs w:val="21"/>
          <w:lang w:val="en-US" w:eastAsia="zh-CN"/>
        </w:rPr>
      </w:pPr>
      <w:r>
        <w:rPr>
          <w:rFonts w:hint="eastAsia" w:ascii="宋体" w:hAnsi="宋体"/>
          <w:kern w:val="0"/>
          <w:sz w:val="21"/>
          <w:szCs w:val="21"/>
          <w:lang w:val="en-US" w:eastAsia="zh-CN"/>
        </w:rPr>
        <w:t>周检：每周1次，主管带队。</w:t>
      </w:r>
    </w:p>
    <w:p w14:paraId="7DFA15FD">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kern w:val="0"/>
          <w:sz w:val="21"/>
          <w:szCs w:val="21"/>
          <w:lang w:val="en-US" w:eastAsia="zh-CN"/>
        </w:rPr>
      </w:pPr>
      <w:r>
        <w:rPr>
          <w:rFonts w:hint="eastAsia" w:ascii="宋体" w:hAnsi="宋体"/>
          <w:kern w:val="0"/>
          <w:sz w:val="21"/>
          <w:szCs w:val="21"/>
          <w:lang w:val="en-US" w:eastAsia="zh-CN"/>
        </w:rPr>
        <w:t>月/季/年检：每月/每季/每年各1次；恶劣天气（雷暴、台风、高温）立即专项巡检。</w:t>
      </w:r>
    </w:p>
    <w:p w14:paraId="045CB34D">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kern w:val="0"/>
          <w:sz w:val="21"/>
          <w:szCs w:val="21"/>
          <w:lang w:val="en-US" w:eastAsia="zh-CN"/>
        </w:rPr>
      </w:pPr>
      <w:r>
        <w:rPr>
          <w:rFonts w:hint="eastAsia" w:ascii="宋体" w:hAnsi="宋体"/>
          <w:color w:val="000000"/>
          <w:kern w:val="0"/>
          <w:sz w:val="21"/>
          <w:szCs w:val="21"/>
          <w:lang w:val="en-US" w:eastAsia="zh-CN"/>
        </w:rPr>
        <w:t>（2）</w:t>
      </w:r>
      <w:r>
        <w:rPr>
          <w:rFonts w:hint="eastAsia" w:ascii="宋体" w:hAnsi="宋体"/>
          <w:kern w:val="0"/>
          <w:sz w:val="21"/>
          <w:szCs w:val="21"/>
          <w:lang w:val="en-US" w:eastAsia="zh-CN"/>
        </w:rPr>
        <w:t>巡检内容</w:t>
      </w:r>
    </w:p>
    <w:p w14:paraId="2D82933D">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kern w:val="0"/>
          <w:sz w:val="21"/>
          <w:szCs w:val="21"/>
          <w:lang w:val="en-US" w:eastAsia="zh-CN"/>
        </w:rPr>
      </w:pPr>
      <w:r>
        <w:rPr>
          <w:rFonts w:hint="eastAsia" w:ascii="宋体" w:hAnsi="宋体"/>
          <w:kern w:val="0"/>
          <w:sz w:val="21"/>
          <w:szCs w:val="21"/>
          <w:lang w:val="en-US" w:eastAsia="zh-CN"/>
        </w:rPr>
        <w:t>环境：无渗水、电缆沟无积水、盖板完好；温度10–30℃、湿度≤75%；通风/空调正常；绝缘胶垫、挡鼠板、消防器材完好；无杂物、无易燃易爆品。</w:t>
      </w:r>
    </w:p>
    <w:p w14:paraId="0054C2CB">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kern w:val="0"/>
          <w:sz w:val="21"/>
          <w:szCs w:val="21"/>
          <w:lang w:val="en-US" w:eastAsia="zh-CN"/>
        </w:rPr>
      </w:pPr>
      <w:r>
        <w:rPr>
          <w:rFonts w:hint="eastAsia" w:ascii="宋体" w:hAnsi="宋体"/>
          <w:kern w:val="0"/>
          <w:sz w:val="21"/>
          <w:szCs w:val="21"/>
          <w:lang w:val="en-US" w:eastAsia="zh-CN"/>
        </w:rPr>
        <w:t>设备：高压柜/变压器/直流屏外观无破损、无放电、无异味、无异响；仪表指示正常；接线端子无发热变色；接地可靠；保护信号正常。</w:t>
      </w:r>
    </w:p>
    <w:p w14:paraId="00CEC0CC">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kern w:val="0"/>
          <w:sz w:val="21"/>
          <w:szCs w:val="21"/>
          <w:lang w:val="en-US" w:eastAsia="zh-CN"/>
        </w:rPr>
      </w:pPr>
      <w:r>
        <w:rPr>
          <w:rFonts w:hint="eastAsia" w:ascii="宋体" w:hAnsi="宋体"/>
          <w:kern w:val="0"/>
          <w:sz w:val="21"/>
          <w:szCs w:val="21"/>
          <w:lang w:val="en-US" w:eastAsia="zh-CN"/>
        </w:rPr>
        <w:t>参数：电压±7%、三相不平衡≤15%、变压器负载率≤90%、功率因数达标。</w:t>
      </w:r>
    </w:p>
    <w:p w14:paraId="3E76F747">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kern w:val="0"/>
          <w:sz w:val="21"/>
          <w:szCs w:val="21"/>
          <w:lang w:val="en-US" w:eastAsia="zh-CN"/>
        </w:rPr>
      </w:pPr>
      <w:r>
        <w:rPr>
          <w:rFonts w:hint="eastAsia" w:ascii="宋体" w:hAnsi="宋体"/>
          <w:kern w:val="0"/>
          <w:sz w:val="21"/>
          <w:szCs w:val="21"/>
          <w:lang w:val="en-US" w:eastAsia="zh-CN"/>
        </w:rPr>
        <w:t>4.4.4操作规范</w:t>
      </w:r>
    </w:p>
    <w:p w14:paraId="433AA851">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kern w:val="0"/>
          <w:sz w:val="21"/>
          <w:szCs w:val="21"/>
          <w:lang w:val="en-US" w:eastAsia="zh-CN"/>
        </w:rPr>
      </w:pPr>
      <w:r>
        <w:rPr>
          <w:rFonts w:hint="eastAsia" w:ascii="宋体" w:hAnsi="宋体"/>
          <w:kern w:val="0"/>
          <w:sz w:val="21"/>
          <w:szCs w:val="21"/>
          <w:lang w:val="en-US" w:eastAsia="zh-CN"/>
        </w:rPr>
        <w:t>操作票制度：严格执行“两票三制”；无票不操作、不事后补票。</w:t>
      </w:r>
    </w:p>
    <w:p w14:paraId="505AAAD3">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kern w:val="0"/>
          <w:sz w:val="21"/>
          <w:szCs w:val="21"/>
          <w:lang w:val="en-US" w:eastAsia="zh-CN"/>
        </w:rPr>
      </w:pPr>
      <w:r>
        <w:rPr>
          <w:rFonts w:hint="eastAsia" w:ascii="宋体" w:hAnsi="宋体"/>
          <w:kern w:val="0"/>
          <w:sz w:val="21"/>
          <w:szCs w:val="21"/>
          <w:lang w:val="en-US" w:eastAsia="zh-CN"/>
        </w:rPr>
        <w:t>操作流程：接令→填票→核对→签字→监护操作→复令→记录。</w:t>
      </w:r>
    </w:p>
    <w:p w14:paraId="0B2CA8BF">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kern w:val="0"/>
          <w:sz w:val="21"/>
          <w:szCs w:val="21"/>
          <w:lang w:val="en-US" w:eastAsia="zh-CN"/>
        </w:rPr>
      </w:pPr>
      <w:r>
        <w:rPr>
          <w:rFonts w:hint="eastAsia" w:ascii="宋体" w:hAnsi="宋体"/>
          <w:kern w:val="0"/>
          <w:sz w:val="21"/>
          <w:szCs w:val="21"/>
          <w:lang w:val="en-US" w:eastAsia="zh-CN"/>
        </w:rPr>
        <w:t>安全防护：穿绝缘靴、戴绝缘手套（每6个月试验合格）；使用合格操作工具；一人操作、一人监护，监护人不代操作。</w:t>
      </w:r>
    </w:p>
    <w:p w14:paraId="49BBB73C">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kern w:val="0"/>
          <w:sz w:val="21"/>
          <w:szCs w:val="21"/>
          <w:lang w:val="en-US" w:eastAsia="zh-CN"/>
        </w:rPr>
      </w:pPr>
      <w:r>
        <w:rPr>
          <w:rFonts w:hint="eastAsia" w:ascii="宋体" w:hAnsi="宋体"/>
          <w:kern w:val="0"/>
          <w:sz w:val="21"/>
          <w:szCs w:val="21"/>
          <w:lang w:val="en-US" w:eastAsia="zh-CN"/>
        </w:rPr>
        <w:t>停送电：停电先验电、挂接地线、挂“禁止合闸”牌；送电先撤安全措施、确认无故障；故障跳闸先查因，仅可试送1次，不成功禁止再送。</w:t>
      </w:r>
    </w:p>
    <w:p w14:paraId="59763480">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kern w:val="0"/>
          <w:sz w:val="21"/>
          <w:szCs w:val="21"/>
          <w:lang w:val="en-US" w:eastAsia="zh-CN"/>
        </w:rPr>
      </w:pPr>
      <w:r>
        <w:rPr>
          <w:rFonts w:hint="eastAsia" w:ascii="宋体" w:hAnsi="宋体"/>
          <w:kern w:val="0"/>
          <w:sz w:val="21"/>
          <w:szCs w:val="21"/>
          <w:lang w:val="en-US" w:eastAsia="zh-CN"/>
        </w:rPr>
        <w:t>4.4.5记录与台账管理</w:t>
      </w:r>
    </w:p>
    <w:p w14:paraId="6D121D54">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kern w:val="0"/>
          <w:sz w:val="21"/>
          <w:szCs w:val="21"/>
          <w:lang w:val="en-US" w:eastAsia="zh-CN"/>
        </w:rPr>
      </w:pPr>
      <w:r>
        <w:rPr>
          <w:rFonts w:hint="eastAsia" w:ascii="宋体" w:hAnsi="宋体"/>
          <w:kern w:val="0"/>
          <w:sz w:val="21"/>
          <w:szCs w:val="21"/>
          <w:lang w:val="en-US" w:eastAsia="zh-CN"/>
        </w:rPr>
        <w:t>必备记录：运行日志、巡检记录、操作票、工作票、缺陷记录、告警处理、交接班记录、设备台账、试验报告。</w:t>
      </w:r>
    </w:p>
    <w:p w14:paraId="26082932">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b/>
          <w:bCs/>
          <w:kern w:val="0"/>
          <w:sz w:val="21"/>
          <w:szCs w:val="21"/>
          <w:lang w:val="en-US" w:eastAsia="zh-CN"/>
        </w:rPr>
      </w:pPr>
      <w:r>
        <w:rPr>
          <w:rFonts w:hint="eastAsia" w:ascii="宋体" w:hAnsi="宋体"/>
          <w:kern w:val="0"/>
          <w:sz w:val="21"/>
          <w:szCs w:val="21"/>
          <w:lang w:val="en-US" w:eastAsia="zh-CN"/>
        </w:rPr>
        <w:t>要求：真实、准确、清晰、及时；电子+纸质双存档；保存≥3年。</w:t>
      </w:r>
    </w:p>
    <w:p w14:paraId="7E3B6B47">
      <w:pPr>
        <w:keepNext w:val="0"/>
        <w:keepLines w:val="0"/>
        <w:pageBreakBefore w:val="0"/>
        <w:widowControl w:val="0"/>
        <w:kinsoku/>
        <w:wordWrap/>
        <w:overflowPunct/>
        <w:topLinePunct w:val="0"/>
        <w:autoSpaceDE/>
        <w:autoSpaceDN/>
        <w:bidi w:val="0"/>
        <w:adjustRightInd w:val="0"/>
        <w:spacing w:line="360" w:lineRule="auto"/>
        <w:rPr>
          <w:rFonts w:ascii="宋体" w:hAnsi="宋体" w:eastAsia="宋体"/>
          <w:b/>
          <w:bCs/>
          <w:kern w:val="0"/>
          <w:sz w:val="21"/>
          <w:szCs w:val="21"/>
        </w:rPr>
      </w:pPr>
      <w:r>
        <w:rPr>
          <w:rFonts w:hint="eastAsia" w:ascii="宋体" w:hAnsi="宋体"/>
          <w:b/>
          <w:bCs/>
          <w:kern w:val="0"/>
          <w:sz w:val="21"/>
          <w:szCs w:val="21"/>
          <w:lang w:val="en-US" w:eastAsia="zh-CN"/>
        </w:rPr>
        <w:t>4.5</w:t>
      </w:r>
      <w:r>
        <w:rPr>
          <w:rFonts w:hint="eastAsia" w:ascii="Times New Roman" w:hAnsi="Times New Roman" w:eastAsia="宋体" w:cs="Times New Roman"/>
          <w:b/>
          <w:bCs/>
          <w:sz w:val="21"/>
          <w:szCs w:val="21"/>
          <w:lang w:eastAsia="zh-CN"/>
        </w:rPr>
        <w:t>信息通信网络终端维修服务</w:t>
      </w:r>
    </w:p>
    <w:p w14:paraId="0617D396">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1）干式变压器日常检查：</w:t>
      </w:r>
    </w:p>
    <w:p w14:paraId="651D4907">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A：检查项目：运行状况</w:t>
      </w:r>
    </w:p>
    <w:p w14:paraId="235E08E4">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 xml:space="preserve">    次数：2次/日</w:t>
      </w:r>
    </w:p>
    <w:p w14:paraId="2FEC9ABA">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 xml:space="preserve">    检查要点：电压、电流、负荷、频率、功率因数、环境温度有无异常。</w:t>
      </w:r>
    </w:p>
    <w:p w14:paraId="3864DADC">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 xml:space="preserve">    措施：及时记录各种上限值。发现异常要查明原因，查不明的应及时与制造厂商联系。</w:t>
      </w:r>
    </w:p>
    <w:p w14:paraId="40736C98">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B：检查项目：变压器温度</w:t>
      </w:r>
    </w:p>
    <w:p w14:paraId="5AAC8296">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 xml:space="preserve">    次数：2次/日</w:t>
      </w:r>
    </w:p>
    <w:p w14:paraId="7206AA27">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检查要点：</w:t>
      </w:r>
    </w:p>
    <w:p w14:paraId="7F7EF56B">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a.记录温控器和温显器的温度显示值；</w:t>
      </w:r>
    </w:p>
    <w:p w14:paraId="731193B0">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b.监视干式电力变压器的温度；</w:t>
      </w:r>
    </w:p>
    <w:p w14:paraId="7421360A">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c.记录对铁心温度有影响的数据。</w:t>
      </w:r>
    </w:p>
    <w:p w14:paraId="08A99F72">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措施：</w:t>
      </w:r>
    </w:p>
    <w:p w14:paraId="0E025EBF">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a.在温度异常时，测量仪器本身必须确保准确。通常在干式电力变压器上同时安装刻度温度计和电阻温度计，以资比较；</w:t>
      </w:r>
    </w:p>
    <w:p w14:paraId="176006AA">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b.发现温度计失灵，应及时修理或更换；</w:t>
      </w:r>
    </w:p>
    <w:p w14:paraId="16906040">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c.空气过滤器堵塞造成冷却风扇风量减少、温度异常时，应立即清扫。</w:t>
      </w:r>
    </w:p>
    <w:p w14:paraId="36A1F5D5">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C：检查项目：异常响声、异常振动</w:t>
      </w:r>
    </w:p>
    <w:p w14:paraId="6888E2FD">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 xml:space="preserve">    次数：1次/日</w:t>
      </w:r>
    </w:p>
    <w:p w14:paraId="64096BB5">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检查要点：</w:t>
      </w:r>
    </w:p>
    <w:p w14:paraId="000089D7">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a.外壳内有无共振音，铁板有无振音；</w:t>
      </w:r>
    </w:p>
    <w:p w14:paraId="247797E2">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b.有无接地不良引起的放电声；</w:t>
      </w:r>
    </w:p>
    <w:p w14:paraId="6F38FAF4">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c.附件有无异常音及异常振动。</w:t>
      </w:r>
    </w:p>
    <w:p w14:paraId="07C03131">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 xml:space="preserve">    措施：从外部能直接检测出共振或异常噪声时，应立即处置；变压器主体有放电声及异常响声时，应立即切换，临时检查，可根据需要与制造厂家联系。</w:t>
      </w:r>
    </w:p>
    <w:p w14:paraId="1A244B17">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D：检查项目：风冷装置</w:t>
      </w:r>
    </w:p>
    <w:p w14:paraId="1AE3D7A3">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 xml:space="preserve">    次数：1次/日</w:t>
      </w:r>
    </w:p>
    <w:p w14:paraId="5D8CF110">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 xml:space="preserve">    检查要点：除声音外，确认有无振动和异常温度。</w:t>
      </w:r>
    </w:p>
    <w:p w14:paraId="43D1B795">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 xml:space="preserve">    措施：附件有过热和异常时，应解分修理并可根据需要与制造厂家联系。</w:t>
      </w:r>
    </w:p>
    <w:p w14:paraId="4884871F">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E：检查项目：引线接头、电缆、母线</w:t>
      </w:r>
    </w:p>
    <w:p w14:paraId="37BCEABF">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 xml:space="preserve">    次数：1次/日</w:t>
      </w:r>
    </w:p>
    <w:p w14:paraId="139F3223">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 xml:space="preserve">    检查要点：根据示温涂料变色和油漆判断引线接头和电缆、母线有无过热。</w:t>
      </w:r>
    </w:p>
    <w:p w14:paraId="1E342C61">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 xml:space="preserve">    措施：有异常时，应退出运行作检查，并修理。</w:t>
      </w:r>
    </w:p>
    <w:p w14:paraId="37F86692">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F：检查项目：线圈铁心等污染情况</w:t>
      </w:r>
    </w:p>
    <w:p w14:paraId="19660B6F">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 xml:space="preserve">    次数：1次/日</w:t>
      </w:r>
    </w:p>
    <w:p w14:paraId="5B37EF21">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 xml:space="preserve">    检查要点：浇注线圈是否附着脏物，铁心、套管上是否有污染。</w:t>
      </w:r>
    </w:p>
    <w:p w14:paraId="41875E4F">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 xml:space="preserve">    措施：有异常时应尽早清扫。</w:t>
      </w:r>
    </w:p>
    <w:p w14:paraId="7B86EFBE">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G：检查项目：嗅味</w:t>
      </w:r>
    </w:p>
    <w:p w14:paraId="1EE5EF76">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 xml:space="preserve">    次数：1次/日</w:t>
      </w:r>
    </w:p>
    <w:p w14:paraId="58DE90A7">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 xml:space="preserve">    检查要点：温度异常高时，附着的脏物或绝缘件是否烧焦，发生臭味。</w:t>
      </w:r>
    </w:p>
    <w:p w14:paraId="1D9CAEE2">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 xml:space="preserve">    措施：有异常时应尽早清扫、处理。</w:t>
      </w:r>
    </w:p>
    <w:p w14:paraId="017767DB">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H：检查项目：绝缘件线圈外观</w:t>
      </w:r>
    </w:p>
    <w:p w14:paraId="2F574D72">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 xml:space="preserve">    次数：1次/日</w:t>
      </w:r>
    </w:p>
    <w:p w14:paraId="54BF723D">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 xml:space="preserve">    检查要点：绝缘件和绕注线圈表面有无碳化和放电痕迹，是否有龟裂。</w:t>
      </w:r>
    </w:p>
    <w:p w14:paraId="61B6CD2A">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 xml:space="preserve">    措施：有异常时应尽早清扫、处理。</w:t>
      </w:r>
    </w:p>
    <w:p w14:paraId="3FA815BB">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I：检查项目：外壳</w:t>
      </w:r>
    </w:p>
    <w:p w14:paraId="53B85CCA">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 xml:space="preserve">    次数：1次/日</w:t>
      </w:r>
    </w:p>
    <w:p w14:paraId="320A13FB">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 xml:space="preserve">    检查要点：检查是否有异物进入、雨水滴入和污染。</w:t>
      </w:r>
    </w:p>
    <w:p w14:paraId="4C8BE729">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 xml:space="preserve">    措施：检查、清扫。</w:t>
      </w:r>
    </w:p>
    <w:p w14:paraId="4EDF0658">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J：检查项目：变配电室</w:t>
      </w:r>
    </w:p>
    <w:p w14:paraId="7CDDCCE0">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 xml:space="preserve">    次数：1次/日</w:t>
      </w:r>
    </w:p>
    <w:p w14:paraId="7FBEA655">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 xml:space="preserve">    检查要点：门窗、照明是否完好、温度是否正常。</w:t>
      </w:r>
    </w:p>
    <w:p w14:paraId="1259A8EB">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 xml:space="preserve">    措施：有异常时，应处理。</w:t>
      </w:r>
    </w:p>
    <w:p w14:paraId="3B1FD4B4">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2）智能化系统管理</w:t>
      </w:r>
    </w:p>
    <w:p w14:paraId="1EBB1B4A">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A: 项目：闭路电视监控系统</w:t>
      </w:r>
    </w:p>
    <w:p w14:paraId="2DA523C7">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管理方法：每日检查，每周定保养一次。</w:t>
      </w:r>
    </w:p>
    <w:p w14:paraId="241DB7BB">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B: 项目：灯饰管理系统</w:t>
      </w:r>
    </w:p>
    <w:p w14:paraId="514AFF61">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 xml:space="preserve">    管理方法：每半月检修一次；发现问题及时修理。</w:t>
      </w:r>
    </w:p>
    <w:p w14:paraId="4C828587">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C:项目：设备自动控制系统</w:t>
      </w:r>
    </w:p>
    <w:p w14:paraId="65278E57">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 xml:space="preserve">    管理方法：每日检查1次；每周检修1次。</w:t>
      </w:r>
    </w:p>
    <w:p w14:paraId="334EE9D5">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3）监控系统</w:t>
      </w:r>
    </w:p>
    <w:p w14:paraId="59F97C6A">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A: 监控系统主机</w:t>
      </w:r>
    </w:p>
    <w:p w14:paraId="0577B9FB">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a.清除监控主机过滤网</w:t>
      </w:r>
    </w:p>
    <w:p w14:paraId="203B2BDA">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b.加添CPU散热油膏</w:t>
      </w:r>
    </w:p>
    <w:p w14:paraId="5CFE56F3">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c.检测操作系统</w:t>
      </w:r>
    </w:p>
    <w:p w14:paraId="2F12EB52">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d.检测电源电压电阻</w:t>
      </w:r>
    </w:p>
    <w:p w14:paraId="78B1B9B9">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B: 摄像机与线路</w:t>
      </w:r>
    </w:p>
    <w:p w14:paraId="3637D244">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a.电源与线路检测</w:t>
      </w:r>
    </w:p>
    <w:p w14:paraId="4D6BE0FE">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b.摄像镜头检测</w:t>
      </w:r>
    </w:p>
    <w:p w14:paraId="7DE4DA82">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c.视频清晰度调整</w:t>
      </w:r>
    </w:p>
    <w:p w14:paraId="78DF4E8F">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C: 显示及系统操作部分</w:t>
      </w:r>
    </w:p>
    <w:p w14:paraId="104B403C">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a.监视器灰尘清理</w:t>
      </w:r>
    </w:p>
    <w:p w14:paraId="0DCC4892">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b.硬盘录像机灰尘清理</w:t>
      </w:r>
    </w:p>
    <w:p w14:paraId="78C007B3">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c.视频矩阵系统灰尘清理</w:t>
      </w:r>
    </w:p>
    <w:p w14:paraId="0F4A24D6">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D: 机房内UPS检测</w:t>
      </w:r>
    </w:p>
    <w:p w14:paraId="7EB4D437">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E: 机房内线路标识、线路整理</w:t>
      </w:r>
    </w:p>
    <w:p w14:paraId="2A850D3F">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4）防盗报警系统</w:t>
      </w:r>
    </w:p>
    <w:p w14:paraId="7861EE46">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A: 报警系统主机</w:t>
      </w:r>
    </w:p>
    <w:p w14:paraId="6D206040">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a.清除报警主机过滤网</w:t>
      </w:r>
    </w:p>
    <w:p w14:paraId="05C17731">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b.加添CPU散热油膏</w:t>
      </w:r>
    </w:p>
    <w:p w14:paraId="0666FAC3">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c.检测操作系统、软件图形显示功能</w:t>
      </w:r>
    </w:p>
    <w:p w14:paraId="55510E9E">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d.检测电源电压电阻</w:t>
      </w:r>
    </w:p>
    <w:p w14:paraId="500C0402">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B: 报警点</w:t>
      </w:r>
    </w:p>
    <w:p w14:paraId="33BEB63B">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a.报警点工作是否正常</w:t>
      </w:r>
    </w:p>
    <w:p w14:paraId="2EB7F410">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b.报警线路有无短路</w:t>
      </w:r>
    </w:p>
    <w:p w14:paraId="29F5C0A1">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5）广播系统</w:t>
      </w:r>
    </w:p>
    <w:p w14:paraId="2A2F9B90">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kern w:val="0"/>
          <w:sz w:val="21"/>
          <w:szCs w:val="21"/>
        </w:rPr>
      </w:pPr>
      <w:r>
        <w:rPr>
          <w:rFonts w:ascii="宋体" w:hAnsi="宋体"/>
          <w:kern w:val="0"/>
          <w:sz w:val="21"/>
          <w:szCs w:val="21"/>
        </w:rPr>
        <w:t>A: 广播系统主机</w:t>
      </w:r>
    </w:p>
    <w:p w14:paraId="0585A7AF">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a.广播电源时序器工作是否正常</w:t>
      </w:r>
    </w:p>
    <w:p w14:paraId="7967D9BD">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b.消防功放与广播功放线路有无短路</w:t>
      </w:r>
    </w:p>
    <w:p w14:paraId="41974D8D">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c.广播前置放大器各路检测</w:t>
      </w:r>
    </w:p>
    <w:p w14:paraId="323BDA0B">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d.广播编程器、CD机检测</w:t>
      </w:r>
    </w:p>
    <w:p w14:paraId="54487EBE">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e.广播监听器各路工作是否正常</w:t>
      </w:r>
    </w:p>
    <w:p w14:paraId="79242888">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f.消防报警信号发生器检测</w:t>
      </w:r>
    </w:p>
    <w:p w14:paraId="4BA0C8E5">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g.检测强切电源</w:t>
      </w:r>
    </w:p>
    <w:p w14:paraId="402F63F5">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hint="eastAsia" w:ascii="宋体" w:hAnsi="宋体"/>
          <w:kern w:val="0"/>
          <w:sz w:val="21"/>
          <w:szCs w:val="21"/>
          <w:lang w:val="en-US" w:eastAsia="zh-CN"/>
        </w:rPr>
      </w:pPr>
      <w:r>
        <w:rPr>
          <w:rFonts w:ascii="宋体" w:hAnsi="宋体"/>
          <w:kern w:val="0"/>
          <w:sz w:val="21"/>
          <w:szCs w:val="21"/>
        </w:rPr>
        <w:t>h.消防信号智能接口器工作是否正常，在有消防疏散信号后广播是否联动。</w:t>
      </w:r>
    </w:p>
    <w:p w14:paraId="3EF55C72">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宋体" w:hAnsi="宋体"/>
          <w:b/>
          <w:bCs/>
          <w:kern w:val="0"/>
          <w:sz w:val="21"/>
          <w:szCs w:val="21"/>
        </w:rPr>
      </w:pPr>
      <w:bookmarkStart w:id="6" w:name="_Toc11015"/>
      <w:r>
        <w:rPr>
          <w:rFonts w:hint="eastAsia" w:ascii="宋体" w:hAnsi="宋体"/>
          <w:b/>
          <w:bCs/>
          <w:kern w:val="0"/>
          <w:sz w:val="21"/>
          <w:szCs w:val="21"/>
          <w:lang w:val="en-US" w:eastAsia="zh-CN"/>
        </w:rPr>
        <w:t>4.6</w:t>
      </w:r>
      <w:r>
        <w:rPr>
          <w:rFonts w:ascii="宋体" w:hAnsi="宋体"/>
          <w:b/>
          <w:bCs/>
          <w:kern w:val="0"/>
          <w:sz w:val="21"/>
          <w:szCs w:val="21"/>
        </w:rPr>
        <w:t>年检</w:t>
      </w:r>
      <w:bookmarkEnd w:id="6"/>
    </w:p>
    <w:p w14:paraId="5E949D2F">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hint="eastAsia" w:ascii="宋体" w:hAnsi="宋体"/>
          <w:kern w:val="0"/>
          <w:sz w:val="21"/>
          <w:szCs w:val="21"/>
          <w:lang w:val="en-US" w:eastAsia="zh-CN"/>
        </w:rPr>
        <w:t>4.6.1</w:t>
      </w:r>
      <w:r>
        <w:rPr>
          <w:rFonts w:ascii="宋体" w:hAnsi="宋体"/>
          <w:kern w:val="0"/>
          <w:sz w:val="21"/>
          <w:szCs w:val="21"/>
        </w:rPr>
        <w:t>饮用水水质检验</w:t>
      </w:r>
      <w:r>
        <w:rPr>
          <w:rFonts w:hint="eastAsia" w:ascii="宋体" w:hAnsi="宋体"/>
          <w:kern w:val="0"/>
          <w:sz w:val="21"/>
          <w:szCs w:val="21"/>
          <w:lang w:eastAsia="zh-CN"/>
        </w:rPr>
        <w:t>，</w:t>
      </w:r>
      <w:r>
        <w:rPr>
          <w:rFonts w:hint="eastAsia" w:ascii="宋体" w:hAnsi="宋体"/>
          <w:kern w:val="0"/>
          <w:sz w:val="21"/>
          <w:szCs w:val="21"/>
          <w:lang w:val="en-US" w:eastAsia="zh-CN"/>
        </w:rPr>
        <w:t>提供水质检验报告。</w:t>
      </w:r>
    </w:p>
    <w:p w14:paraId="53EC48B3">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ascii="宋体" w:hAnsi="宋体"/>
          <w:kern w:val="0"/>
          <w:sz w:val="21"/>
          <w:szCs w:val="21"/>
        </w:rPr>
        <w:t>水质的检验方法，按GB750－85《生活饮用水标准检验法》执行。</w:t>
      </w:r>
    </w:p>
    <w:p w14:paraId="40767F8E">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hint="eastAsia" w:ascii="宋体" w:hAnsi="宋体"/>
          <w:kern w:val="0"/>
          <w:sz w:val="21"/>
          <w:szCs w:val="21"/>
          <w:lang w:val="en-US" w:eastAsia="zh-CN"/>
        </w:rPr>
        <w:t>4.6.2</w:t>
      </w:r>
      <w:r>
        <w:rPr>
          <w:rFonts w:ascii="宋体" w:hAnsi="宋体"/>
          <w:kern w:val="0"/>
          <w:sz w:val="21"/>
          <w:szCs w:val="21"/>
        </w:rPr>
        <w:t>避雷设施检验</w:t>
      </w:r>
      <w:r>
        <w:rPr>
          <w:rFonts w:hint="eastAsia" w:ascii="宋体" w:hAnsi="宋体"/>
          <w:kern w:val="0"/>
          <w:sz w:val="21"/>
          <w:szCs w:val="21"/>
          <w:lang w:eastAsia="zh-CN"/>
        </w:rPr>
        <w:t>，</w:t>
      </w:r>
      <w:r>
        <w:rPr>
          <w:rFonts w:hint="eastAsia" w:ascii="宋体" w:hAnsi="宋体"/>
          <w:kern w:val="0"/>
          <w:sz w:val="21"/>
          <w:szCs w:val="21"/>
          <w:lang w:val="en-US" w:eastAsia="zh-CN"/>
        </w:rPr>
        <w:t>提供避雷设施检测报告。</w:t>
      </w:r>
    </w:p>
    <w:p w14:paraId="4BA0C3CF">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hint="eastAsia" w:ascii="宋体" w:hAnsi="宋体"/>
          <w:kern w:val="0"/>
          <w:sz w:val="21"/>
          <w:szCs w:val="21"/>
          <w:lang w:val="en-US" w:eastAsia="zh-CN"/>
        </w:rPr>
        <w:t>4.6.2.1</w:t>
      </w:r>
      <w:r>
        <w:rPr>
          <w:rFonts w:ascii="宋体" w:hAnsi="宋体"/>
          <w:kern w:val="0"/>
          <w:sz w:val="21"/>
          <w:szCs w:val="21"/>
        </w:rPr>
        <w:t>接闪器</w:t>
      </w:r>
    </w:p>
    <w:p w14:paraId="03377DBD">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ascii="宋体" w:hAnsi="宋体"/>
          <w:kern w:val="0"/>
          <w:sz w:val="21"/>
          <w:szCs w:val="21"/>
        </w:rPr>
      </w:pPr>
      <w:r>
        <w:rPr>
          <w:rFonts w:hint="eastAsia" w:ascii="宋体" w:hAnsi="宋体"/>
          <w:kern w:val="0"/>
          <w:sz w:val="21"/>
          <w:szCs w:val="21"/>
          <w:lang w:val="en-US" w:eastAsia="zh-CN"/>
        </w:rPr>
        <w:t>4.6.2.1.1</w:t>
      </w:r>
      <w:r>
        <w:rPr>
          <w:rFonts w:ascii="宋体" w:hAnsi="宋体"/>
          <w:kern w:val="0"/>
          <w:sz w:val="21"/>
          <w:szCs w:val="21"/>
        </w:rPr>
        <w:t>首次检测时，应查看隐蔽工程记录。</w:t>
      </w:r>
    </w:p>
    <w:p w14:paraId="133F1CB4">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cs="Times New Roman"/>
          <w:sz w:val="21"/>
          <w:szCs w:val="21"/>
        </w:rPr>
      </w:pPr>
      <w:r>
        <w:rPr>
          <w:rFonts w:hint="eastAsia" w:ascii="宋体" w:hAnsi="宋体"/>
          <w:kern w:val="0"/>
          <w:sz w:val="21"/>
          <w:szCs w:val="21"/>
          <w:lang w:val="en-US" w:eastAsia="zh-CN"/>
        </w:rPr>
        <w:t>4.6.2.1.</w:t>
      </w:r>
      <w:r>
        <w:rPr>
          <w:rFonts w:ascii="宋体" w:hAnsi="宋体"/>
          <w:kern w:val="0"/>
          <w:sz w:val="21"/>
          <w:szCs w:val="21"/>
        </w:rPr>
        <w:t>2检查接闪器的位置是否正确，焊接固定的焊缝是否饱满吴遗漏，螺栓固定的</w:t>
      </w:r>
      <w:r>
        <w:rPr>
          <w:rFonts w:cs="Times New Roman"/>
          <w:sz w:val="21"/>
          <w:szCs w:val="21"/>
        </w:rPr>
        <w:t>应备帽等防松零件是否齐全，焊接部分补刷漆是否完整，接闪器截面是否锈蚀1/3以上。检查接闪带是否平整顺直，固定支架间距是否均匀，固定可靠，接闪带固定支架间距和高度是否符合要求。检查每个支持件能否承受49N的垂直拉力。</w:t>
      </w:r>
    </w:p>
    <w:p w14:paraId="41F7A66F">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4.6.2.1.</w:t>
      </w:r>
      <w:r>
        <w:rPr>
          <w:rFonts w:cs="Times New Roman"/>
          <w:sz w:val="21"/>
          <w:szCs w:val="21"/>
        </w:rPr>
        <w:t>3首次检测时，应检查接闪网的网格尺寸是否符合要求。 </w:t>
      </w:r>
    </w:p>
    <w:p w14:paraId="78686194">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4.6.2.1.</w:t>
      </w:r>
      <w:r>
        <w:rPr>
          <w:rFonts w:cs="Times New Roman"/>
          <w:sz w:val="21"/>
          <w:szCs w:val="21"/>
        </w:rPr>
        <w:t>4首次检测时，应用经纬仪和卷尺测量接闪器的高度、长度，建筑物的长、宽、高，并根据建筑物防雷类别应滚球法计算其保护范围。</w:t>
      </w:r>
    </w:p>
    <w:p w14:paraId="1F9A20AC">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4.6.2.1.</w:t>
      </w:r>
      <w:r>
        <w:rPr>
          <w:rFonts w:cs="Times New Roman"/>
          <w:sz w:val="21"/>
          <w:szCs w:val="21"/>
        </w:rPr>
        <w:t>5首次检测时，检测接闪器的材料、规格和尺寸是否符合要求。</w:t>
      </w:r>
    </w:p>
    <w:p w14:paraId="6EC49BBE">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4.6.2.1.</w:t>
      </w:r>
      <w:r>
        <w:rPr>
          <w:rFonts w:cs="Times New Roman"/>
          <w:sz w:val="21"/>
          <w:szCs w:val="21"/>
        </w:rPr>
        <w:t>6检查接闪器上有无附着的其他电气线路。</w:t>
      </w:r>
    </w:p>
    <w:p w14:paraId="28DC9DCD">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4.6.2.1.</w:t>
      </w:r>
      <w:r>
        <w:rPr>
          <w:rFonts w:cs="Times New Roman"/>
          <w:sz w:val="21"/>
          <w:szCs w:val="21"/>
        </w:rPr>
        <w:t>7首次检测时，应检查建筑物的防侧击雷保护措施是否符合规定。</w:t>
      </w:r>
    </w:p>
    <w:p w14:paraId="4B7ED10E">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4.6.2.1.</w:t>
      </w:r>
      <w:r>
        <w:rPr>
          <w:rFonts w:cs="Times New Roman"/>
          <w:sz w:val="21"/>
          <w:szCs w:val="21"/>
        </w:rPr>
        <w:t>8底层或多层建筑物利用女儿墙内、防水层内或保温层内的钢筋作暗敷接闪器时，要对该建筑物周围的环境进行检查，防止可能发生的混凝土碎块坠落等事故隐患。除底层和多层建筑物外，其他建筑物不应利用女儿墙内钢筋作为暗敷接闪器。</w:t>
      </w:r>
    </w:p>
    <w:p w14:paraId="6FD111D7">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4.6.2.2</w:t>
      </w:r>
      <w:r>
        <w:rPr>
          <w:rFonts w:cs="Times New Roman"/>
          <w:sz w:val="21"/>
          <w:szCs w:val="21"/>
        </w:rPr>
        <w:t>引下线检测</w:t>
      </w:r>
    </w:p>
    <w:p w14:paraId="4642B5E6">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4.6.2.2</w:t>
      </w:r>
      <w:r>
        <w:rPr>
          <w:rFonts w:cs="Times New Roman"/>
          <w:sz w:val="21"/>
          <w:szCs w:val="21"/>
        </w:rPr>
        <w:t>.1首次检测时，应检查引下线隐蔽工程记录。</w:t>
      </w:r>
    </w:p>
    <w:p w14:paraId="30CAD106">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4.6.2.2</w:t>
      </w:r>
      <w:r>
        <w:rPr>
          <w:rFonts w:cs="Times New Roman"/>
          <w:sz w:val="21"/>
          <w:szCs w:val="21"/>
        </w:rPr>
        <w:t>.2检查专设引下线位置是否准确，焊接固定的焊缝是否饱满吴遗漏，焊接部分补刷的防锈漆是否完整，专设引下线截面是否腐蚀1/3以上。检查明敷引下线是否平整顺直、无急弯，卡钉是否分段固定。引下线固定支架间距均匀，是否符合水平或垂直直线部分0.5m-1.0m,弯曲部分0.3m-0.5m的要求，每个固定支架应能承受49N的垂直拉力。检查专设引下线、接闪器和接地装置的焊接处是否锈蚀，油漆是否有遗漏及近地面的保护设施。</w:t>
      </w:r>
    </w:p>
    <w:p w14:paraId="6089BE38">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4.6.2.2</w:t>
      </w:r>
      <w:r>
        <w:rPr>
          <w:rFonts w:cs="Times New Roman"/>
          <w:sz w:val="21"/>
          <w:szCs w:val="21"/>
        </w:rPr>
        <w:t>.3首次检测时，用卷尺测量每组相邻两根专设引下线之间的距离，记录专设引下线布置的总根数，每根专设引下线为一个检测点，按顺序编号检测。</w:t>
      </w:r>
    </w:p>
    <w:p w14:paraId="362C9581">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4.6.2.2</w:t>
      </w:r>
      <w:r>
        <w:rPr>
          <w:rFonts w:cs="Times New Roman"/>
          <w:sz w:val="21"/>
          <w:szCs w:val="21"/>
        </w:rPr>
        <w:t>.4首次检测时，应用游标卡尺测量每根专设引下线的规格尺寸。</w:t>
      </w:r>
    </w:p>
    <w:p w14:paraId="2AB00360">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4.6.2.2</w:t>
      </w:r>
      <w:r>
        <w:rPr>
          <w:rFonts w:cs="Times New Roman"/>
          <w:sz w:val="21"/>
          <w:szCs w:val="21"/>
        </w:rPr>
        <w:t>.5检测每根专设引下线与接闪器的电器连接性能，其过期电阻不应大于0.2Ω。</w:t>
      </w:r>
    </w:p>
    <w:p w14:paraId="4054C4CD">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4.6.2.2</w:t>
      </w:r>
      <w:r>
        <w:rPr>
          <w:rFonts w:cs="Times New Roman"/>
          <w:sz w:val="21"/>
          <w:szCs w:val="21"/>
        </w:rPr>
        <w:t>.6检查专设引下线上有无附着的电气和电子线路。测量专设引下线与附近电气和电子线路的距离符合规定。</w:t>
      </w:r>
    </w:p>
    <w:p w14:paraId="104E2849">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4.6.2.2</w:t>
      </w:r>
      <w:r>
        <w:rPr>
          <w:rFonts w:cs="Times New Roman"/>
          <w:sz w:val="21"/>
          <w:szCs w:val="21"/>
        </w:rPr>
        <w:t>.7检查专设引下线的断接卡的设置是否符合规定。专设引下线与环形接地体连接，测量接地电阻时，可不断开接卡。</w:t>
      </w:r>
    </w:p>
    <w:p w14:paraId="2626CAE3">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4.6.2.3</w:t>
      </w:r>
      <w:r>
        <w:rPr>
          <w:rFonts w:cs="Times New Roman"/>
          <w:sz w:val="21"/>
          <w:szCs w:val="21"/>
        </w:rPr>
        <w:t>接地装置</w:t>
      </w:r>
    </w:p>
    <w:p w14:paraId="13A402E7">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4.6.2.3</w:t>
      </w:r>
      <w:r>
        <w:rPr>
          <w:rFonts w:cs="Times New Roman"/>
          <w:sz w:val="21"/>
          <w:szCs w:val="21"/>
        </w:rPr>
        <w:t>.1首次检测时，应查看隐蔽工程记录；检查接地装置的结构型式和安装位置；校核每根专设引下线接地体的接地有效面积；检查接地体的埋设间距、深度、安装方法；检查接地装置的材料、连接方法、防腐处理。</w:t>
      </w:r>
    </w:p>
    <w:p w14:paraId="39440EFC">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4.6.2.3</w:t>
      </w:r>
      <w:r>
        <w:rPr>
          <w:rFonts w:cs="Times New Roman"/>
          <w:sz w:val="21"/>
          <w:szCs w:val="21"/>
        </w:rPr>
        <w:t>.2检查接地装置的填土有无沉陷情况。</w:t>
      </w:r>
    </w:p>
    <w:p w14:paraId="0E189EFF">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4.6.2.3</w:t>
      </w:r>
      <w:r>
        <w:rPr>
          <w:rFonts w:cs="Times New Roman"/>
          <w:sz w:val="21"/>
          <w:szCs w:val="21"/>
        </w:rPr>
        <w:t>.3检查有无因挖土方、敷设管线或种植树木而挖断接地装置。</w:t>
      </w:r>
    </w:p>
    <w:p w14:paraId="71311A02">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4.6.2.3</w:t>
      </w:r>
      <w:r>
        <w:rPr>
          <w:rFonts w:cs="Times New Roman"/>
          <w:sz w:val="21"/>
          <w:szCs w:val="21"/>
        </w:rPr>
        <w:t>.4首次检测时，应检查相邻接地体在未进行等电位连接时的地中距离。</w:t>
      </w:r>
    </w:p>
    <w:p w14:paraId="5E97D336">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4.6.2.3</w:t>
      </w:r>
      <w:r>
        <w:rPr>
          <w:rFonts w:cs="Times New Roman"/>
          <w:sz w:val="21"/>
          <w:szCs w:val="21"/>
        </w:rPr>
        <w:t>.5检查独立接闪杆的杆塔、架空接闪线（网）的支柱及其接地装置与被保护建筑物及其有联系的管道、电缆等金属物之间的间隔距离。</w:t>
      </w:r>
    </w:p>
    <w:p w14:paraId="367D733A">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4.6.2.3</w:t>
      </w:r>
      <w:r>
        <w:rPr>
          <w:rFonts w:cs="Times New Roman"/>
          <w:sz w:val="21"/>
          <w:szCs w:val="21"/>
        </w:rPr>
        <w:t>.6检查防跨步电压措施。</w:t>
      </w:r>
    </w:p>
    <w:p w14:paraId="7DFB7E57">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4.6.2.3</w:t>
      </w:r>
      <w:r>
        <w:rPr>
          <w:rFonts w:cs="Times New Roman"/>
          <w:sz w:val="21"/>
          <w:szCs w:val="21"/>
        </w:rPr>
        <w:t>.7用毫欧表测量两相邻接地装置的电气贯通情况，判定两相邻接地装置是否达到规定的共用接地系统要求或独立接地要求。检查时，应使用最小电流为0.2A的毫欧表对两相邻接地装置进行测量，如测得电阻值不大于1Ω，判定为电气贯通，如测得阻值大于1Ω，判定各自为独立接地。</w:t>
      </w:r>
    </w:p>
    <w:p w14:paraId="08CF8FAC">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4.6.2.3</w:t>
      </w:r>
      <w:r>
        <w:rPr>
          <w:rFonts w:cs="Times New Roman"/>
          <w:sz w:val="21"/>
          <w:szCs w:val="21"/>
        </w:rPr>
        <w:t>.8接地装置的工频接地电阻值测量常用三级法和接地电阻表达，其测得的值为工频接地电阻值，当需要冲击接地电阻值时，应进行换算或使用专用仪器测量。</w:t>
      </w:r>
    </w:p>
    <w:p w14:paraId="11C96ABF">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4.6.2.3</w:t>
      </w:r>
      <w:r>
        <w:rPr>
          <w:rFonts w:cs="Times New Roman"/>
          <w:sz w:val="21"/>
          <w:szCs w:val="21"/>
        </w:rPr>
        <w:t>.9每次接地电阻测量宜固定在同一位置，采用同一型号仪器，采用同一种方法测量。</w:t>
      </w:r>
    </w:p>
    <w:p w14:paraId="230A8861">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4.6.2.3</w:t>
      </w:r>
      <w:r>
        <w:rPr>
          <w:rFonts w:cs="Times New Roman"/>
          <w:sz w:val="21"/>
          <w:szCs w:val="21"/>
        </w:rPr>
        <w:t>.10使用接地电阻表进行接地电阻值测量时，应按选用仪器的要求进行操作。</w:t>
      </w:r>
    </w:p>
    <w:p w14:paraId="35BA326D">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4.6.2.4</w:t>
      </w:r>
      <w:r>
        <w:rPr>
          <w:rFonts w:cs="Times New Roman"/>
          <w:sz w:val="21"/>
          <w:szCs w:val="21"/>
        </w:rPr>
        <w:t>等电位连接</w:t>
      </w:r>
    </w:p>
    <w:p w14:paraId="68DA3AB1">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4.6.2.4</w:t>
      </w:r>
      <w:r>
        <w:rPr>
          <w:rFonts w:cs="Times New Roman"/>
          <w:sz w:val="21"/>
          <w:szCs w:val="21"/>
        </w:rPr>
        <w:t>.1大尺寸金属物的连接检测，应检查设备、管道、构架、均压环、钢骨架、钢窗、放散管、吊车、金属地板、电梯轨道、栏杆等大尺寸金属物与共用接地装置的连接情况。如已实现连接应进一步检查连接质量，连接导体的材料和尺寸。</w:t>
      </w:r>
    </w:p>
    <w:p w14:paraId="2784E839">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4.6.2.4</w:t>
      </w:r>
      <w:r>
        <w:rPr>
          <w:rFonts w:cs="Times New Roman"/>
          <w:sz w:val="21"/>
          <w:szCs w:val="21"/>
        </w:rPr>
        <w:t>.2总等电位连接带的检测，应检查有LPZ0区到LPZ1区的总等电位连接状况，。</w:t>
      </w:r>
    </w:p>
    <w:p w14:paraId="050A5784">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4.6.2.4</w:t>
      </w:r>
      <w:r>
        <w:rPr>
          <w:rFonts w:cs="Times New Roman"/>
          <w:sz w:val="21"/>
          <w:szCs w:val="21"/>
        </w:rPr>
        <w:t>.3低压配电线路引入和连接的检测，应检查低配电线路是否全线喘金属管埋地或敷设在架空金属线槽内引入。</w:t>
      </w:r>
    </w:p>
    <w:p w14:paraId="3D14F673">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4.6.2.4</w:t>
      </w:r>
      <w:r>
        <w:rPr>
          <w:rFonts w:cs="Times New Roman"/>
          <w:sz w:val="21"/>
          <w:szCs w:val="21"/>
        </w:rPr>
        <w:t>.4建筑物内竖直敷设的金属管道及金属物的检测，应检查建筑物内竖直敷设的金属管道及金属物与建筑物内钢筋就近不少于两处的连接。</w:t>
      </w:r>
    </w:p>
    <w:p w14:paraId="7CDDCF97">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4.6.2.4</w:t>
      </w:r>
      <w:r>
        <w:rPr>
          <w:rFonts w:cs="Times New Roman"/>
          <w:sz w:val="21"/>
          <w:szCs w:val="21"/>
        </w:rPr>
        <w:t>.5进入建筑物的外来导电物连接的检测，应检查所有进入建筑物的外来导电物是否在LPZ0区与LPZ1区界面处与总等电位连接带连接。</w:t>
      </w:r>
    </w:p>
    <w:p w14:paraId="7F715CA3">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4.6.2.4</w:t>
      </w:r>
      <w:r>
        <w:rPr>
          <w:rFonts w:cs="Times New Roman"/>
          <w:sz w:val="21"/>
          <w:szCs w:val="21"/>
        </w:rPr>
        <w:t>.6穿过各后续防雷区界面处导电物连接的检测，应检查所有穿过各后续防雷区界面处导电物是否在界面处与建筑物内的钢筋或等电位连接预留板连接。</w:t>
      </w:r>
    </w:p>
    <w:p w14:paraId="3B9AC9D3">
      <w:pPr>
        <w:pStyle w:val="5"/>
        <w:keepNext w:val="0"/>
        <w:keepLines w:val="0"/>
        <w:pageBreakBefore w:val="0"/>
        <w:widowControl w:val="0"/>
        <w:kinsoku/>
        <w:wordWrap/>
        <w:overflowPunct/>
        <w:topLinePunct w:val="0"/>
        <w:autoSpaceDE/>
        <w:autoSpaceDN/>
        <w:bidi w:val="0"/>
        <w:spacing w:line="360" w:lineRule="auto"/>
        <w:ind w:firstLine="149" w:firstLineChars="71"/>
        <w:rPr>
          <w:sz w:val="21"/>
          <w:szCs w:val="21"/>
        </w:rPr>
      </w:pPr>
      <w:r>
        <w:rPr>
          <w:rFonts w:hint="eastAsia"/>
          <w:b w:val="0"/>
          <w:sz w:val="21"/>
          <w:szCs w:val="21"/>
          <w:lang w:val="en-US" w:eastAsia="zh-CN"/>
        </w:rPr>
        <w:t>4.6.</w:t>
      </w:r>
      <w:r>
        <w:rPr>
          <w:rFonts w:cs="Times New Roman"/>
          <w:sz w:val="21"/>
          <w:szCs w:val="21"/>
        </w:rPr>
        <w:t>3</w:t>
      </w:r>
      <w:r>
        <w:rPr>
          <w:rFonts w:hint="eastAsia" w:cs="Times New Roman"/>
          <w:sz w:val="21"/>
          <w:szCs w:val="21"/>
        </w:rPr>
        <w:t>.</w:t>
      </w:r>
      <w:r>
        <w:rPr>
          <w:rFonts w:cs="Times New Roman"/>
          <w:sz w:val="21"/>
          <w:szCs w:val="21"/>
        </w:rPr>
        <w:t>高压配电电器、器具检验</w:t>
      </w:r>
      <w:r>
        <w:rPr>
          <w:rFonts w:hint="eastAsia" w:cs="Times New Roman"/>
          <w:sz w:val="21"/>
          <w:szCs w:val="21"/>
          <w:lang w:eastAsia="zh-CN"/>
        </w:rPr>
        <w:t>，</w:t>
      </w:r>
      <w:r>
        <w:rPr>
          <w:rFonts w:hint="eastAsia" w:cs="Times New Roman"/>
          <w:sz w:val="21"/>
          <w:szCs w:val="21"/>
          <w:lang w:val="en-US" w:eastAsia="zh-CN"/>
        </w:rPr>
        <w:t>提供高压配电室工器具检测报告。</w:t>
      </w:r>
    </w:p>
    <w:tbl>
      <w:tblPr>
        <w:tblStyle w:val="3"/>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5179"/>
        <w:gridCol w:w="2820"/>
      </w:tblGrid>
      <w:tr w14:paraId="00BF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14:paraId="25251A7C">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项目</w:t>
            </w:r>
          </w:p>
        </w:tc>
        <w:tc>
          <w:tcPr>
            <w:tcW w:w="5179" w:type="dxa"/>
            <w:shd w:val="clear" w:color="auto" w:fill="auto"/>
          </w:tcPr>
          <w:p w14:paraId="5D6F8CF3">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内容</w:t>
            </w:r>
          </w:p>
        </w:tc>
        <w:tc>
          <w:tcPr>
            <w:tcW w:w="2820" w:type="dxa"/>
            <w:shd w:val="clear" w:color="auto" w:fill="auto"/>
          </w:tcPr>
          <w:p w14:paraId="73100CEC">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要　求</w:t>
            </w:r>
          </w:p>
        </w:tc>
      </w:tr>
      <w:tr w14:paraId="5727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restart"/>
            <w:shd w:val="clear" w:color="auto" w:fill="auto"/>
          </w:tcPr>
          <w:p w14:paraId="458AB5D7">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高</w:t>
            </w:r>
          </w:p>
          <w:p w14:paraId="57779EB2">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压</w:t>
            </w:r>
          </w:p>
          <w:p w14:paraId="62F051BF">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环</w:t>
            </w:r>
          </w:p>
          <w:p w14:paraId="4F15D176">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网</w:t>
            </w:r>
          </w:p>
          <w:p w14:paraId="13B7C08C">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柜</w:t>
            </w:r>
          </w:p>
        </w:tc>
        <w:tc>
          <w:tcPr>
            <w:tcW w:w="5179" w:type="dxa"/>
            <w:shd w:val="clear" w:color="auto" w:fill="auto"/>
          </w:tcPr>
          <w:p w14:paraId="780F8E7E">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1、清理外部积尘；</w:t>
            </w:r>
          </w:p>
          <w:p w14:paraId="5B906C23">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2、检查外观是否良好，有无异声；</w:t>
            </w:r>
          </w:p>
          <w:p w14:paraId="4568E5B2">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3、指示灯是否完好；</w:t>
            </w:r>
          </w:p>
          <w:p w14:paraId="7DD5388A">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4、警示标示挂设位置是否正确</w:t>
            </w:r>
          </w:p>
        </w:tc>
        <w:tc>
          <w:tcPr>
            <w:tcW w:w="2820" w:type="dxa"/>
            <w:shd w:val="clear" w:color="auto" w:fill="auto"/>
          </w:tcPr>
          <w:p w14:paraId="36BDD1E5">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外观整洁，指示灯完好，标示位置正确</w:t>
            </w:r>
          </w:p>
        </w:tc>
      </w:tr>
      <w:tr w14:paraId="4F92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shd w:val="clear" w:color="auto" w:fill="auto"/>
          </w:tcPr>
          <w:p w14:paraId="079A31D9">
            <w:pPr>
              <w:keepNext w:val="0"/>
              <w:keepLines w:val="0"/>
              <w:pageBreakBefore w:val="0"/>
              <w:widowControl w:val="0"/>
              <w:kinsoku/>
              <w:wordWrap/>
              <w:overflowPunct/>
              <w:topLinePunct w:val="0"/>
              <w:autoSpaceDE/>
              <w:autoSpaceDN/>
              <w:bidi w:val="0"/>
              <w:spacing w:line="360" w:lineRule="auto"/>
              <w:rPr>
                <w:sz w:val="21"/>
                <w:szCs w:val="21"/>
              </w:rPr>
            </w:pPr>
          </w:p>
        </w:tc>
        <w:tc>
          <w:tcPr>
            <w:tcW w:w="5179" w:type="dxa"/>
            <w:shd w:val="clear" w:color="auto" w:fill="auto"/>
          </w:tcPr>
          <w:p w14:paraId="6D510F8B">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1、检查操作机构是否灵活、互锁机构是否正确；</w:t>
            </w:r>
          </w:p>
          <w:p w14:paraId="2EF28543">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2、检测接地电阻；</w:t>
            </w:r>
          </w:p>
          <w:p w14:paraId="780F5D40">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3、检查电源接线装置，并紧固螺丝；</w:t>
            </w:r>
          </w:p>
          <w:p w14:paraId="23DD4D57">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4、给自动合闸电瓶加注电解液，检修充电情况</w:t>
            </w:r>
          </w:p>
        </w:tc>
        <w:tc>
          <w:tcPr>
            <w:tcW w:w="2820" w:type="dxa"/>
            <w:shd w:val="clear" w:color="auto" w:fill="auto"/>
          </w:tcPr>
          <w:p w14:paraId="11617185">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设施完好，阻值符合规范，线头紧固，电瓶电量充足，操作机构灵活</w:t>
            </w:r>
          </w:p>
        </w:tc>
      </w:tr>
      <w:tr w14:paraId="3BE9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shd w:val="clear" w:color="auto" w:fill="auto"/>
          </w:tcPr>
          <w:p w14:paraId="0D6F5CCB">
            <w:pPr>
              <w:keepNext w:val="0"/>
              <w:keepLines w:val="0"/>
              <w:pageBreakBefore w:val="0"/>
              <w:widowControl w:val="0"/>
              <w:kinsoku/>
              <w:wordWrap/>
              <w:overflowPunct/>
              <w:topLinePunct w:val="0"/>
              <w:autoSpaceDE/>
              <w:autoSpaceDN/>
              <w:bidi w:val="0"/>
              <w:spacing w:line="360" w:lineRule="auto"/>
              <w:rPr>
                <w:sz w:val="21"/>
                <w:szCs w:val="21"/>
              </w:rPr>
            </w:pPr>
          </w:p>
        </w:tc>
        <w:tc>
          <w:tcPr>
            <w:tcW w:w="5179" w:type="dxa"/>
            <w:shd w:val="clear" w:color="auto" w:fill="auto"/>
          </w:tcPr>
          <w:p w14:paraId="12082433">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委托供电公司对高压开关柜进行测试和维护保养，此项工作由变配电专业工程师负责监督，并记录维护情况</w:t>
            </w:r>
          </w:p>
        </w:tc>
        <w:tc>
          <w:tcPr>
            <w:tcW w:w="2820" w:type="dxa"/>
            <w:shd w:val="clear" w:color="auto" w:fill="auto"/>
          </w:tcPr>
          <w:p w14:paraId="7BC14C2B">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各项测试合格，记录完备</w:t>
            </w:r>
          </w:p>
        </w:tc>
      </w:tr>
      <w:tr w14:paraId="38BE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restart"/>
            <w:shd w:val="clear" w:color="auto" w:fill="auto"/>
          </w:tcPr>
          <w:p w14:paraId="1E17F7E9">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变</w:t>
            </w:r>
          </w:p>
          <w:p w14:paraId="363A29E7">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压</w:t>
            </w:r>
          </w:p>
          <w:p w14:paraId="12798C41">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器</w:t>
            </w:r>
          </w:p>
        </w:tc>
        <w:tc>
          <w:tcPr>
            <w:tcW w:w="5179" w:type="dxa"/>
            <w:shd w:val="clear" w:color="auto" w:fill="auto"/>
          </w:tcPr>
          <w:p w14:paraId="2AE3537B">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1、检查外观，包括进线、出线和接头状况；</w:t>
            </w:r>
          </w:p>
          <w:p w14:paraId="086B3F21">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2、检查变压器温控器和超温保护风机运行情况；</w:t>
            </w:r>
          </w:p>
          <w:p w14:paraId="04B99568">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3、检测变压器出线电压、电流和绝缘情况</w:t>
            </w:r>
          </w:p>
        </w:tc>
        <w:tc>
          <w:tcPr>
            <w:tcW w:w="2820" w:type="dxa"/>
            <w:shd w:val="clear" w:color="auto" w:fill="auto"/>
          </w:tcPr>
          <w:p w14:paraId="6778862A">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完好，运行正常，温升、电压、电流值正常，无异声异味</w:t>
            </w:r>
          </w:p>
        </w:tc>
      </w:tr>
      <w:tr w14:paraId="498C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shd w:val="clear" w:color="auto" w:fill="auto"/>
          </w:tcPr>
          <w:p w14:paraId="53EC18A1">
            <w:pPr>
              <w:keepNext w:val="0"/>
              <w:keepLines w:val="0"/>
              <w:pageBreakBefore w:val="0"/>
              <w:widowControl w:val="0"/>
              <w:kinsoku/>
              <w:wordWrap/>
              <w:overflowPunct/>
              <w:topLinePunct w:val="0"/>
              <w:autoSpaceDE/>
              <w:autoSpaceDN/>
              <w:bidi w:val="0"/>
              <w:spacing w:line="360" w:lineRule="auto"/>
              <w:rPr>
                <w:sz w:val="21"/>
                <w:szCs w:val="21"/>
              </w:rPr>
            </w:pPr>
          </w:p>
        </w:tc>
        <w:tc>
          <w:tcPr>
            <w:tcW w:w="5179" w:type="dxa"/>
            <w:shd w:val="clear" w:color="auto" w:fill="auto"/>
          </w:tcPr>
          <w:p w14:paraId="43AE7EC9">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1、清扫变压器外壳；</w:t>
            </w:r>
          </w:p>
          <w:p w14:paraId="50E2A699">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2、2、紧固变压器引出线的接头，如发现接头烧伤或过热痕迹，应进行整修处理并重新接好；</w:t>
            </w:r>
          </w:p>
          <w:p w14:paraId="6E4DEFEF">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3、检查变压器的接地线是否良好，地线是否被腐蚀，腐蚀严重时应更换地线</w:t>
            </w:r>
          </w:p>
        </w:tc>
        <w:tc>
          <w:tcPr>
            <w:tcW w:w="2820" w:type="dxa"/>
            <w:shd w:val="clear" w:color="auto" w:fill="auto"/>
          </w:tcPr>
          <w:p w14:paraId="3A6B7E0C">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外观干净整洁、运行状态良好；连接部位无松动、过热现象；绝缘子无松动、破损，相关记录完备</w:t>
            </w:r>
          </w:p>
        </w:tc>
      </w:tr>
      <w:tr w14:paraId="47B2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shd w:val="clear" w:color="auto" w:fill="auto"/>
          </w:tcPr>
          <w:p w14:paraId="7127737A">
            <w:pPr>
              <w:keepNext w:val="0"/>
              <w:keepLines w:val="0"/>
              <w:pageBreakBefore w:val="0"/>
              <w:widowControl w:val="0"/>
              <w:kinsoku/>
              <w:wordWrap/>
              <w:overflowPunct/>
              <w:topLinePunct w:val="0"/>
              <w:autoSpaceDE/>
              <w:autoSpaceDN/>
              <w:bidi w:val="0"/>
              <w:spacing w:line="360" w:lineRule="auto"/>
              <w:rPr>
                <w:sz w:val="21"/>
                <w:szCs w:val="21"/>
              </w:rPr>
            </w:pPr>
          </w:p>
        </w:tc>
        <w:tc>
          <w:tcPr>
            <w:tcW w:w="5179" w:type="dxa"/>
            <w:shd w:val="clear" w:color="auto" w:fill="auto"/>
          </w:tcPr>
          <w:p w14:paraId="086CC161">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委托供电公司对区内所有</w:t>
            </w:r>
            <w:r>
              <w:rPr>
                <w:rFonts w:hint="eastAsia"/>
                <w:sz w:val="21"/>
                <w:szCs w:val="21"/>
              </w:rPr>
              <w:t>变压器</w:t>
            </w:r>
            <w:r>
              <w:rPr>
                <w:sz w:val="21"/>
                <w:szCs w:val="21"/>
              </w:rPr>
              <w:t>进行测试和维护保养，此项工作由变配电室值班电工负责进行监督，记录结果并归档</w:t>
            </w:r>
          </w:p>
        </w:tc>
        <w:tc>
          <w:tcPr>
            <w:tcW w:w="2820" w:type="dxa"/>
            <w:shd w:val="clear" w:color="auto" w:fill="auto"/>
          </w:tcPr>
          <w:p w14:paraId="6B7FBF38">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各项测试合格，相关记录完备</w:t>
            </w:r>
          </w:p>
        </w:tc>
      </w:tr>
      <w:tr w14:paraId="3C7B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14:paraId="210E3EF9">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发电机</w:t>
            </w:r>
          </w:p>
        </w:tc>
        <w:tc>
          <w:tcPr>
            <w:tcW w:w="5179" w:type="dxa"/>
            <w:shd w:val="clear" w:color="auto" w:fill="auto"/>
          </w:tcPr>
          <w:p w14:paraId="1D9C6FB5">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1、清理机房卫生，给设备清尘、去污、上防锈油、紧固和清洁电气接头等；</w:t>
            </w:r>
          </w:p>
          <w:p w14:paraId="034A99B4">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2、检查机房内排风送风、排烟系统、控制箱等状况；</w:t>
            </w:r>
          </w:p>
          <w:p w14:paraId="6555442C">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3、检查发电机输油管、回油管等工作状况；</w:t>
            </w:r>
          </w:p>
          <w:p w14:paraId="36ACFC22">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4、检查和加注发电机润滑油、冷却液和燃油等；</w:t>
            </w:r>
          </w:p>
          <w:p w14:paraId="51568253">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5、检查和调校传动皮带；</w:t>
            </w:r>
          </w:p>
          <w:p w14:paraId="264F5243">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6、检查蓄电池接线端头、电位状况，补充蓄电池电解液；</w:t>
            </w:r>
          </w:p>
          <w:p w14:paraId="4E4AAF34">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7、检查和测试发电机带负荷运行状况（每次试运行30-45分钟）</w:t>
            </w:r>
          </w:p>
        </w:tc>
        <w:tc>
          <w:tcPr>
            <w:tcW w:w="2820" w:type="dxa"/>
            <w:shd w:val="clear" w:color="auto" w:fill="auto"/>
          </w:tcPr>
          <w:p w14:paraId="24266AD1">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机房清洁，发电机组及其</w:t>
            </w:r>
            <w:r>
              <w:rPr>
                <w:rFonts w:hint="eastAsia"/>
                <w:sz w:val="21"/>
                <w:szCs w:val="21"/>
              </w:rPr>
              <w:t>辅助</w:t>
            </w:r>
            <w:r>
              <w:rPr>
                <w:sz w:val="21"/>
                <w:szCs w:val="21"/>
              </w:rPr>
              <w:t>设备和部件，洁净、完好，启动正常、运行平稳，无锈蚀，无异常响声和异味；电气接头牢固，接触良好；蓄电池状态良好，电量充足；发电机油管畅通，燃油贮备量充足，带负荷输出功率符合要求，切换市电平稳，正常。</w:t>
            </w:r>
          </w:p>
        </w:tc>
      </w:tr>
    </w:tbl>
    <w:p w14:paraId="2BE0B9F8">
      <w:pPr>
        <w:pStyle w:val="5"/>
        <w:keepNext w:val="0"/>
        <w:keepLines w:val="0"/>
        <w:pageBreakBefore w:val="0"/>
        <w:widowControl w:val="0"/>
        <w:kinsoku/>
        <w:wordWrap/>
        <w:overflowPunct/>
        <w:topLinePunct w:val="0"/>
        <w:autoSpaceDE/>
        <w:autoSpaceDN/>
        <w:bidi w:val="0"/>
        <w:spacing w:line="360" w:lineRule="auto"/>
        <w:ind w:firstLine="149" w:firstLineChars="71"/>
        <w:rPr>
          <w:rFonts w:cs="Times New Roman"/>
          <w:sz w:val="21"/>
          <w:szCs w:val="21"/>
        </w:rPr>
      </w:pPr>
      <w:r>
        <w:rPr>
          <w:rFonts w:hint="eastAsia"/>
          <w:b w:val="0"/>
          <w:sz w:val="21"/>
          <w:szCs w:val="21"/>
          <w:lang w:val="en-US" w:eastAsia="zh-CN"/>
        </w:rPr>
        <w:t>4.6.</w:t>
      </w:r>
      <w:r>
        <w:rPr>
          <w:rFonts w:cs="Times New Roman"/>
          <w:sz w:val="21"/>
          <w:szCs w:val="21"/>
        </w:rPr>
        <w:t>4消防电气检验</w:t>
      </w:r>
    </w:p>
    <w:p w14:paraId="2FC05F7F">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w:t>
      </w:r>
      <w:r>
        <w:rPr>
          <w:rFonts w:cs="Times New Roman"/>
          <w:sz w:val="21"/>
          <w:szCs w:val="21"/>
        </w:rPr>
        <w:t>4</w:t>
      </w:r>
      <w:r>
        <w:rPr>
          <w:rFonts w:hint="eastAsia" w:cs="Times New Roman"/>
          <w:sz w:val="21"/>
          <w:szCs w:val="21"/>
          <w:lang w:val="en-US" w:eastAsia="zh-CN"/>
        </w:rPr>
        <w:t>.1</w:t>
      </w:r>
      <w:r>
        <w:rPr>
          <w:rFonts w:cs="Times New Roman"/>
          <w:sz w:val="21"/>
          <w:szCs w:val="21"/>
        </w:rPr>
        <w:t>消防控制主机电源检查项目：</w:t>
      </w:r>
    </w:p>
    <w:p w14:paraId="4DFBB2AD">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cs="Times New Roman"/>
          <w:sz w:val="21"/>
          <w:szCs w:val="21"/>
        </w:rPr>
        <w:t>1)检查系统电压偏移是否在允许范围内。系统电源标准﹕AC197V~242V50Hz</w:t>
      </w:r>
      <w:r>
        <w:rPr>
          <w:rFonts w:hint="eastAsia" w:cs="Times New Roman"/>
          <w:sz w:val="21"/>
          <w:szCs w:val="21"/>
        </w:rPr>
        <w:t>±</w:t>
      </w:r>
      <w:r>
        <w:rPr>
          <w:rFonts w:cs="Times New Roman"/>
          <w:sz w:val="21"/>
          <w:szCs w:val="21"/>
        </w:rPr>
        <w:t>1Hz</w:t>
      </w:r>
    </w:p>
    <w:p w14:paraId="76847ED7">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cs="Times New Roman"/>
          <w:sz w:val="21"/>
          <w:szCs w:val="21"/>
        </w:rPr>
        <w:t>2)查看消防控制配电箱的标志，以及仪表、指示灯、开关、控制按钮。</w:t>
      </w:r>
    </w:p>
    <w:p w14:paraId="67AD9A03">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cs="Times New Roman"/>
          <w:sz w:val="21"/>
          <w:szCs w:val="21"/>
        </w:rPr>
        <w:t>3)检查主电源和备用电源之间的自动切换是否正常。</w:t>
      </w:r>
    </w:p>
    <w:p w14:paraId="073FC84C">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cs="Times New Roman"/>
          <w:sz w:val="21"/>
          <w:szCs w:val="21"/>
        </w:rPr>
        <w:t>检查方式﹕</w:t>
      </w:r>
    </w:p>
    <w:p w14:paraId="40903753">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cs="Times New Roman"/>
          <w:sz w:val="21"/>
          <w:szCs w:val="21"/>
        </w:rPr>
        <w:t>a)自动控制方式下,手动切断消防主电源,观察备用消防电源的投入以及指示灯的显示。</w:t>
      </w:r>
    </w:p>
    <w:p w14:paraId="514E5DC7">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cs="Times New Roman"/>
          <w:sz w:val="21"/>
          <w:szCs w:val="21"/>
        </w:rPr>
        <w:t>b)人为控制方式下,在低压配电室应先切断消防主电源,后闭合备用消防电源,观察备用消防电源的投入以及指示灯的显示。</w:t>
      </w:r>
    </w:p>
    <w:p w14:paraId="5FE33E60">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cs="Times New Roman"/>
          <w:sz w:val="21"/>
          <w:szCs w:val="21"/>
        </w:rPr>
        <w:t>c)每季度要对备用电源进行1~2次充放电实验,1~3次主电源和备用电源自动切换实验。</w:t>
      </w:r>
    </w:p>
    <w:p w14:paraId="6EFFF40D">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w:t>
      </w:r>
      <w:r>
        <w:rPr>
          <w:rFonts w:cs="Times New Roman"/>
          <w:sz w:val="21"/>
          <w:szCs w:val="21"/>
        </w:rPr>
        <w:t>4</w:t>
      </w:r>
      <w:r>
        <w:rPr>
          <w:rFonts w:hint="eastAsia" w:cs="Times New Roman"/>
          <w:sz w:val="21"/>
          <w:szCs w:val="21"/>
          <w:lang w:val="en-US" w:eastAsia="zh-CN"/>
        </w:rPr>
        <w:t>.2</w:t>
      </w:r>
      <w:r>
        <w:rPr>
          <w:rFonts w:cs="Times New Roman"/>
          <w:sz w:val="21"/>
          <w:szCs w:val="21"/>
        </w:rPr>
        <w:t>对消防控制主机进行如下项目检查：</w:t>
      </w:r>
    </w:p>
    <w:p w14:paraId="5A450B77">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cs="Times New Roman"/>
          <w:sz w:val="21"/>
          <w:szCs w:val="21"/>
        </w:rPr>
        <w:t>1)触发自检键，进行功能自检:</w:t>
      </w:r>
    </w:p>
    <w:p w14:paraId="0011F45B">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cs="Times New Roman"/>
          <w:sz w:val="21"/>
          <w:szCs w:val="21"/>
        </w:rPr>
        <w:t>2)对控制器电源全部发光显示器进行检验,并循环三次。</w:t>
      </w:r>
    </w:p>
    <w:p w14:paraId="412651BA">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cs="Times New Roman"/>
          <w:sz w:val="21"/>
          <w:szCs w:val="21"/>
        </w:rPr>
        <w:t>3)对Ⅱ级编程继电器进行检验,检验期间继电器触点动作,但输出+24V撤消。</w:t>
      </w:r>
    </w:p>
    <w:p w14:paraId="26A83ABE">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cs="Times New Roman"/>
          <w:sz w:val="21"/>
          <w:szCs w:val="21"/>
        </w:rPr>
        <w:t>4)对打印机功能进行检验。</w:t>
      </w:r>
    </w:p>
    <w:p w14:paraId="30F263C2">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cs="Times New Roman"/>
          <w:sz w:val="21"/>
          <w:szCs w:val="21"/>
        </w:rPr>
        <w:t>5)对控制器的主要硬件接口芯片,存储器芯片及各类插件的主要I芯片进行自动实时故障检测。</w:t>
      </w:r>
    </w:p>
    <w:p w14:paraId="23B55D69">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cs="Times New Roman"/>
          <w:sz w:val="21"/>
          <w:szCs w:val="21"/>
        </w:rPr>
        <w:t>切断主电源，查看备用直流电源自动投入和主、备电源的状态显示情况。</w:t>
      </w:r>
    </w:p>
    <w:p w14:paraId="3EBD502C">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cs="Times New Roman"/>
          <w:sz w:val="21"/>
          <w:szCs w:val="21"/>
        </w:rPr>
        <w:t>在备用直流电源供电状态下，进行断路故障报警及火警优先功能。</w:t>
      </w:r>
    </w:p>
    <w:p w14:paraId="1D260B97">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hint="eastAsia"/>
          <w:b w:val="0"/>
          <w:sz w:val="21"/>
          <w:szCs w:val="21"/>
          <w:lang w:val="en-US" w:eastAsia="zh-CN"/>
        </w:rPr>
        <w:t>4.6.</w:t>
      </w:r>
      <w:r>
        <w:rPr>
          <w:rFonts w:cs="Times New Roman"/>
          <w:sz w:val="21"/>
          <w:szCs w:val="21"/>
        </w:rPr>
        <w:t>4</w:t>
      </w:r>
      <w:r>
        <w:rPr>
          <w:rFonts w:hint="eastAsia" w:cs="Times New Roman"/>
          <w:sz w:val="21"/>
          <w:szCs w:val="21"/>
          <w:lang w:val="en-US" w:eastAsia="zh-CN"/>
        </w:rPr>
        <w:t>.3</w:t>
      </w:r>
      <w:r>
        <w:rPr>
          <w:rFonts w:cs="Times New Roman"/>
          <w:sz w:val="21"/>
          <w:szCs w:val="21"/>
        </w:rPr>
        <w:t>报警功能检测：</w:t>
      </w:r>
    </w:p>
    <w:p w14:paraId="0CE69C0B">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cs="Times New Roman"/>
          <w:sz w:val="21"/>
          <w:szCs w:val="21"/>
        </w:rPr>
        <w:t>1)类比探测器、手动报警按钮断路故障，查看故障显示。</w:t>
      </w:r>
    </w:p>
    <w:p w14:paraId="0BF8F61C">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cs="Times New Roman"/>
          <w:sz w:val="21"/>
          <w:szCs w:val="21"/>
        </w:rPr>
        <w:t>2)断路故障报警期间，采用发烟装置或温度不低于54℃的热源先后向同一回路中两个探测器施放烟气或加热，查看火灾报警控制器的火警信号、报警部位显示及记录。每个探测器检测后，只消音，不重定。</w:t>
      </w:r>
    </w:p>
    <w:p w14:paraId="5A6D8F8D">
      <w:pPr>
        <w:pStyle w:val="5"/>
        <w:keepNext w:val="0"/>
        <w:keepLines w:val="0"/>
        <w:pageBreakBefore w:val="0"/>
        <w:widowControl w:val="0"/>
        <w:kinsoku/>
        <w:wordWrap/>
        <w:overflowPunct/>
        <w:topLinePunct w:val="0"/>
        <w:autoSpaceDE/>
        <w:autoSpaceDN/>
        <w:bidi w:val="0"/>
        <w:spacing w:line="360" w:lineRule="auto"/>
        <w:ind w:firstLine="420"/>
        <w:rPr>
          <w:rFonts w:cs="Times New Roman"/>
          <w:sz w:val="21"/>
          <w:szCs w:val="21"/>
        </w:rPr>
      </w:pPr>
      <w:r>
        <w:rPr>
          <w:rFonts w:cs="Times New Roman"/>
          <w:sz w:val="21"/>
          <w:szCs w:val="21"/>
        </w:rPr>
        <w:t>用万用表测量火灾报警控制器的联动输出信号。</w:t>
      </w:r>
    </w:p>
    <w:p w14:paraId="5345ECCC">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cs="Times New Roman"/>
          <w:sz w:val="21"/>
          <w:szCs w:val="21"/>
        </w:rPr>
      </w:pPr>
      <w:r>
        <w:rPr>
          <w:rFonts w:cs="Times New Roman"/>
          <w:sz w:val="21"/>
          <w:szCs w:val="21"/>
        </w:rPr>
        <w:t>系统重定，恢复到正常警戒状态。</w:t>
      </w:r>
    </w:p>
    <w:p w14:paraId="2D29F5FA">
      <w:pPr>
        <w:pStyle w:val="5"/>
        <w:keepNext w:val="0"/>
        <w:keepLines w:val="0"/>
        <w:pageBreakBefore w:val="0"/>
        <w:widowControl w:val="0"/>
        <w:kinsoku/>
        <w:wordWrap/>
        <w:overflowPunct/>
        <w:topLinePunct w:val="0"/>
        <w:autoSpaceDE/>
        <w:autoSpaceDN/>
        <w:bidi w:val="0"/>
        <w:spacing w:line="360" w:lineRule="auto"/>
        <w:ind w:firstLine="0" w:firstLineChars="0"/>
        <w:rPr>
          <w:rFonts w:hint="eastAsia" w:ascii="宋体" w:hAnsi="宋体"/>
          <w:b/>
          <w:kern w:val="0"/>
          <w:sz w:val="21"/>
          <w:szCs w:val="21"/>
        </w:rPr>
      </w:pPr>
      <w:bookmarkStart w:id="7" w:name="_Toc14649"/>
      <w:r>
        <w:rPr>
          <w:rFonts w:hint="eastAsia" w:ascii="宋体" w:hAnsi="宋体"/>
          <w:b/>
          <w:bCs/>
          <w:kern w:val="0"/>
          <w:sz w:val="21"/>
          <w:szCs w:val="21"/>
          <w:lang w:val="en-US" w:eastAsia="zh-CN"/>
        </w:rPr>
        <w:t>4.7</w:t>
      </w:r>
      <w:r>
        <w:rPr>
          <w:rFonts w:ascii="宋体" w:hAnsi="宋体"/>
          <w:b/>
          <w:kern w:val="0"/>
          <w:sz w:val="21"/>
          <w:szCs w:val="21"/>
        </w:rPr>
        <w:t>院区</w:t>
      </w:r>
      <w:bookmarkEnd w:id="7"/>
      <w:r>
        <w:rPr>
          <w:rFonts w:hint="eastAsia" w:ascii="宋体" w:hAnsi="宋体"/>
          <w:b/>
          <w:kern w:val="0"/>
          <w:sz w:val="21"/>
          <w:szCs w:val="21"/>
        </w:rPr>
        <w:t>绿化养护</w:t>
      </w:r>
    </w:p>
    <w:p w14:paraId="4FD5FB63">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ascii="宋体" w:hAnsi="宋体"/>
          <w:kern w:val="0"/>
          <w:sz w:val="21"/>
          <w:szCs w:val="21"/>
        </w:rPr>
      </w:pPr>
      <w:r>
        <w:rPr>
          <w:rFonts w:hint="eastAsia" w:ascii="宋体" w:hAnsi="宋体"/>
          <w:kern w:val="0"/>
          <w:sz w:val="21"/>
          <w:szCs w:val="21"/>
          <w:lang w:val="en-US" w:eastAsia="zh-CN"/>
        </w:rPr>
        <w:t>4.7.1</w:t>
      </w:r>
      <w:r>
        <w:rPr>
          <w:rFonts w:ascii="宋体" w:hAnsi="宋体"/>
          <w:kern w:val="0"/>
          <w:sz w:val="21"/>
          <w:szCs w:val="21"/>
        </w:rPr>
        <w:t>室外公共区域绿化养护（按照绿化养护一级标准）</w:t>
      </w:r>
    </w:p>
    <w:p w14:paraId="33DCA36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color w:val="000000"/>
          <w:kern w:val="0"/>
          <w:sz w:val="21"/>
          <w:szCs w:val="21"/>
        </w:rPr>
      </w:pPr>
      <w:r>
        <w:rPr>
          <w:rFonts w:ascii="宋体" w:hAnsi="宋体"/>
          <w:color w:val="000000"/>
          <w:kern w:val="0"/>
          <w:sz w:val="21"/>
          <w:szCs w:val="21"/>
        </w:rPr>
        <w:t>绿化养护技术措施基本完善，植物配置基本合理，裸露土地不明显。</w:t>
      </w:r>
    </w:p>
    <w:p w14:paraId="4FA3807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color w:val="000000"/>
          <w:kern w:val="0"/>
          <w:sz w:val="21"/>
          <w:szCs w:val="21"/>
        </w:rPr>
      </w:pPr>
      <w:r>
        <w:rPr>
          <w:rFonts w:ascii="宋体" w:hAnsi="宋体"/>
          <w:color w:val="000000"/>
          <w:kern w:val="0"/>
          <w:sz w:val="21"/>
          <w:szCs w:val="21"/>
        </w:rPr>
        <w:t>园林植物生长正常。新建绿地各种植物四年内达到正常形态。</w:t>
      </w:r>
    </w:p>
    <w:p w14:paraId="4F524231">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ascii="宋体" w:hAnsi="宋体"/>
          <w:color w:val="000000"/>
          <w:kern w:val="0"/>
          <w:sz w:val="21"/>
          <w:szCs w:val="21"/>
        </w:rPr>
      </w:pPr>
      <w:r>
        <w:rPr>
          <w:rFonts w:ascii="宋体" w:hAnsi="宋体"/>
          <w:color w:val="000000"/>
          <w:kern w:val="0"/>
          <w:sz w:val="21"/>
          <w:szCs w:val="21"/>
        </w:rPr>
        <w:t>园林树木树冠基本正常，修剪及时，无明显枯枝死叉。分枝点合适，枝条粗壮，行道树缺株率不超过1%。</w:t>
      </w:r>
    </w:p>
    <w:p w14:paraId="3E9AFA4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color w:val="000000"/>
          <w:kern w:val="0"/>
          <w:sz w:val="21"/>
          <w:szCs w:val="21"/>
        </w:rPr>
      </w:pPr>
      <w:r>
        <w:rPr>
          <w:rFonts w:ascii="宋体" w:hAnsi="宋体"/>
          <w:color w:val="000000"/>
          <w:kern w:val="0"/>
          <w:sz w:val="21"/>
          <w:szCs w:val="21"/>
        </w:rPr>
        <w:t>落叶树新梢生长基本正常，叶片大小、颜色正常，在正常条件下，有黄叶、焦叶、卷叶和带虫尿、虫网叶片的株数不得超过10%，正常叶片保存率在90%以上。针叶树针叶宿存1年以上，结果枝条不超过50 %。</w:t>
      </w:r>
    </w:p>
    <w:p w14:paraId="4F4419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color w:val="000000"/>
          <w:kern w:val="0"/>
          <w:sz w:val="21"/>
          <w:szCs w:val="21"/>
        </w:rPr>
      </w:pPr>
      <w:r>
        <w:rPr>
          <w:rFonts w:ascii="宋体" w:hAnsi="宋体"/>
          <w:color w:val="000000"/>
          <w:kern w:val="0"/>
          <w:sz w:val="21"/>
          <w:szCs w:val="21"/>
        </w:rPr>
        <w:t>花坛、花带轮廓基本清晰、整齐美观，无残缺。</w:t>
      </w:r>
    </w:p>
    <w:p w14:paraId="0DC80AD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color w:val="000000"/>
          <w:kern w:val="0"/>
          <w:sz w:val="21"/>
          <w:szCs w:val="21"/>
        </w:rPr>
      </w:pPr>
      <w:r>
        <w:rPr>
          <w:rFonts w:ascii="宋体" w:hAnsi="宋体"/>
          <w:color w:val="000000"/>
          <w:kern w:val="0"/>
          <w:sz w:val="21"/>
          <w:szCs w:val="21"/>
        </w:rPr>
        <w:t>草坪及地被植物整齐一致，覆盖率98%以上，除缀花草坪外草坪内杂草率不得超过5%。</w:t>
      </w:r>
    </w:p>
    <w:p w14:paraId="76F50AA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color w:val="000000"/>
          <w:kern w:val="0"/>
          <w:sz w:val="21"/>
          <w:szCs w:val="21"/>
        </w:rPr>
      </w:pPr>
      <w:r>
        <w:rPr>
          <w:rFonts w:ascii="宋体" w:hAnsi="宋体"/>
          <w:color w:val="000000"/>
          <w:kern w:val="0"/>
          <w:sz w:val="21"/>
          <w:szCs w:val="21"/>
        </w:rPr>
        <w:t>病虫害控制要及时，园林树木有蛀干害虫危害的竹数不得超过3%；在园林树木主干、主枝上平均每100cm2介壳虫的活虫数不得超过3只，较细枝条上平均每30cm2不得超过8只，且平均被害株数不得超过5％。被虫咬的叶片每株不得超过8%。</w:t>
      </w:r>
    </w:p>
    <w:p w14:paraId="147BFDA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color w:val="000000"/>
          <w:kern w:val="0"/>
          <w:sz w:val="21"/>
          <w:szCs w:val="21"/>
        </w:rPr>
      </w:pPr>
      <w:r>
        <w:rPr>
          <w:rFonts w:ascii="宋体" w:hAnsi="宋体"/>
          <w:color w:val="000000"/>
          <w:kern w:val="0"/>
          <w:sz w:val="21"/>
          <w:szCs w:val="21"/>
        </w:rPr>
        <w:t>垂直绿化能根据不同植物的攀缘特点，采取相应的技术措施，视攀缘植物生长习性，覆盖率不得低于90%。开花的攀缘植物能适时开花。</w:t>
      </w:r>
    </w:p>
    <w:p w14:paraId="4173217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color w:val="000000"/>
          <w:kern w:val="0"/>
          <w:sz w:val="21"/>
          <w:szCs w:val="21"/>
        </w:rPr>
      </w:pPr>
      <w:r>
        <w:rPr>
          <w:rFonts w:ascii="宋体" w:hAnsi="宋体"/>
          <w:color w:val="000000"/>
          <w:kern w:val="0"/>
          <w:sz w:val="21"/>
          <w:szCs w:val="21"/>
        </w:rPr>
        <w:t>绿地基本整洁，无明显杂物，无白色污染（树挂），绿化生产垃圾（如树枝、树叶、草屑等）、绿地内水面杂物能日产日清，能做到</w:t>
      </w:r>
      <w:r>
        <w:rPr>
          <w:rFonts w:hint="eastAsia" w:ascii="宋体" w:hAnsi="宋体"/>
          <w:color w:val="000000"/>
          <w:kern w:val="0"/>
          <w:sz w:val="21"/>
          <w:szCs w:val="21"/>
          <w:lang w:eastAsia="zh-CN"/>
        </w:rPr>
        <w:t>清洁</w:t>
      </w:r>
      <w:r>
        <w:rPr>
          <w:rFonts w:ascii="宋体" w:hAnsi="宋体"/>
          <w:color w:val="000000"/>
          <w:kern w:val="0"/>
          <w:sz w:val="21"/>
          <w:szCs w:val="21"/>
        </w:rPr>
        <w:t>及时。</w:t>
      </w:r>
    </w:p>
    <w:p w14:paraId="2E05B61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color w:val="000000"/>
          <w:kern w:val="0"/>
          <w:sz w:val="21"/>
          <w:szCs w:val="21"/>
        </w:rPr>
      </w:pPr>
      <w:r>
        <w:rPr>
          <w:rFonts w:ascii="宋体" w:hAnsi="宋体"/>
          <w:color w:val="000000"/>
          <w:kern w:val="0"/>
          <w:sz w:val="21"/>
          <w:szCs w:val="21"/>
        </w:rPr>
        <w:t>栏杆、园路、桌椅、路灯、井盖和牌示等园林设施基本完整，能进行维护。</w:t>
      </w:r>
    </w:p>
    <w:p w14:paraId="4855B86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color w:val="000000"/>
          <w:kern w:val="0"/>
          <w:sz w:val="21"/>
          <w:szCs w:val="21"/>
        </w:rPr>
      </w:pPr>
      <w:r>
        <w:rPr>
          <w:rFonts w:ascii="宋体" w:hAnsi="宋体"/>
          <w:color w:val="000000"/>
          <w:kern w:val="0"/>
          <w:sz w:val="21"/>
          <w:szCs w:val="21"/>
        </w:rPr>
        <w:t>绿地基本完整，无明显堆物、堆料、搭棚、树干上无钉拴刻画等现象。行道树下距树干2米范围内无明显的堆物、堆料、圈栏或搭棚设摊等影响树木生长和养护管理的现象。</w:t>
      </w:r>
    </w:p>
    <w:p w14:paraId="3BDE5431">
      <w:pPr>
        <w:keepNext w:val="0"/>
        <w:keepLines w:val="0"/>
        <w:pageBreakBefore w:val="0"/>
        <w:widowControl w:val="0"/>
        <w:kinsoku/>
        <w:wordWrap/>
        <w:overflowPunct/>
        <w:topLinePunct w:val="0"/>
        <w:autoSpaceDE/>
        <w:autoSpaceDN/>
        <w:bidi w:val="0"/>
        <w:adjustRightInd w:val="0"/>
        <w:spacing w:line="360" w:lineRule="auto"/>
        <w:rPr>
          <w:rFonts w:ascii="宋体" w:hAnsi="宋体"/>
          <w:bCs/>
          <w:sz w:val="21"/>
          <w:szCs w:val="21"/>
          <w:lang w:val="zh-CN"/>
        </w:rPr>
      </w:pPr>
      <w:r>
        <w:rPr>
          <w:rFonts w:hint="eastAsia" w:ascii="宋体" w:hAnsi="宋体"/>
          <w:kern w:val="0"/>
          <w:sz w:val="21"/>
          <w:szCs w:val="21"/>
          <w:lang w:val="en-US" w:eastAsia="zh-CN"/>
        </w:rPr>
        <w:t>2</w:t>
      </w:r>
      <w:r>
        <w:rPr>
          <w:rFonts w:ascii="宋体" w:hAnsi="宋体"/>
          <w:bCs/>
          <w:sz w:val="21"/>
          <w:szCs w:val="21"/>
          <w:lang w:val="zh-CN"/>
        </w:rPr>
        <w:t>室内绿摆养护</w:t>
      </w:r>
    </w:p>
    <w:p w14:paraId="2B2E36F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kern w:val="0"/>
          <w:sz w:val="21"/>
          <w:szCs w:val="21"/>
          <w:lang w:val="zh-CN"/>
        </w:rPr>
      </w:pPr>
      <w:r>
        <w:rPr>
          <w:rFonts w:ascii="宋体" w:hAnsi="宋体"/>
          <w:kern w:val="0"/>
          <w:sz w:val="21"/>
          <w:szCs w:val="21"/>
          <w:lang w:val="zh-CN"/>
        </w:rPr>
        <w:t>需要放置盆载的地方是：会议室等</w:t>
      </w:r>
    </w:p>
    <w:p w14:paraId="5BC5130A">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cs="Times New Roman"/>
          <w:sz w:val="21"/>
          <w:szCs w:val="21"/>
          <w:lang w:val="en-US" w:eastAsia="zh-CN"/>
        </w:rPr>
      </w:pPr>
      <w:r>
        <w:rPr>
          <w:rFonts w:ascii="宋体" w:hAnsi="宋体"/>
          <w:kern w:val="0"/>
          <w:sz w:val="21"/>
          <w:szCs w:val="21"/>
          <w:lang w:val="zh-CN"/>
        </w:rPr>
        <w:t>放置的花木可以从以下品种中挑选：绿宝石、虹宝石、洒萍兰、红帝早、绿帝皇、红三角椰子、夏威夷椰子、袖珍椰子、密叶绒、据齿万绿绒、细叶班马、绿巨人、散尾葵、巴西铁、金边巴西铁、圣诞树、龙骨、马丽安、孔雀、发财树、热带球、三色荷兰铁、琉球苏铁、圆叶蒲葵、罗汉松、银杏、帝王蔓绿绒、新红蔓绿绒、双线竹芋、彩虹竹芋、金碧变叶木、阿波罗千年木、富贵竹、文竹、杜鹃、一品红、仙客来等等。</w:t>
      </w:r>
    </w:p>
    <w:p w14:paraId="5C56A927">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b/>
          <w:bCs/>
          <w:kern w:val="0"/>
          <w:sz w:val="21"/>
          <w:szCs w:val="21"/>
          <w:lang w:val="en-US" w:eastAsia="zh-CN"/>
        </w:rPr>
      </w:pPr>
      <w:bookmarkStart w:id="8" w:name="_Toc2980"/>
      <w:r>
        <w:rPr>
          <w:rFonts w:hint="eastAsia" w:ascii="宋体" w:hAnsi="宋体"/>
          <w:b/>
          <w:bCs/>
          <w:kern w:val="0"/>
          <w:sz w:val="21"/>
          <w:szCs w:val="21"/>
          <w:lang w:val="en-US" w:eastAsia="zh-CN"/>
        </w:rPr>
        <w:t>4.8分体空调、中央空调系统的运行维护保养</w:t>
      </w:r>
      <w:bookmarkEnd w:id="8"/>
    </w:p>
    <w:p w14:paraId="23605E0E">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负责中央空调系统夏季供冷、冬季供热设备的整体运行值班服务，包括中央空调系统、换热系统的运行值班、周期性巡检、日常例行检查以及年度换季保养（更换冷冻油，过滤器）</w:t>
      </w:r>
      <w:r>
        <w:rPr>
          <w:rStyle w:val="6"/>
          <w:rFonts w:hint="default" w:ascii="Times New Roman" w:hAnsi="Times New Roman"/>
          <w:sz w:val="21"/>
          <w:szCs w:val="21"/>
        </w:rPr>
        <w:t>。</w:t>
      </w:r>
    </w:p>
    <w:p w14:paraId="0CED038B">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A：设备名称：上下水管道及相关阀门、配件</w:t>
      </w:r>
    </w:p>
    <w:p w14:paraId="3CA0B7E9">
      <w:pPr>
        <w:keepNext w:val="0"/>
        <w:keepLines w:val="0"/>
        <w:pageBreakBefore w:val="0"/>
        <w:widowControl w:val="0"/>
        <w:kinsoku/>
        <w:wordWrap/>
        <w:overflowPunct/>
        <w:topLinePunct w:val="0"/>
        <w:autoSpaceDE/>
        <w:autoSpaceDN/>
        <w:bidi w:val="0"/>
        <w:spacing w:line="360" w:lineRule="auto"/>
        <w:ind w:firstLine="480"/>
        <w:rPr>
          <w:sz w:val="21"/>
          <w:szCs w:val="21"/>
        </w:rPr>
      </w:pPr>
      <w:r>
        <w:rPr>
          <w:sz w:val="21"/>
          <w:szCs w:val="21"/>
        </w:rPr>
        <w:t>日常维修计划：</w:t>
      </w:r>
    </w:p>
    <w:p w14:paraId="28188F86">
      <w:pPr>
        <w:keepNext w:val="0"/>
        <w:keepLines w:val="0"/>
        <w:pageBreakBefore w:val="0"/>
        <w:widowControl w:val="0"/>
        <w:kinsoku/>
        <w:wordWrap/>
        <w:overflowPunct/>
        <w:topLinePunct w:val="0"/>
        <w:autoSpaceDE/>
        <w:autoSpaceDN/>
        <w:bidi w:val="0"/>
        <w:spacing w:line="360" w:lineRule="auto"/>
        <w:ind w:firstLine="480"/>
        <w:rPr>
          <w:sz w:val="21"/>
          <w:szCs w:val="21"/>
        </w:rPr>
      </w:pPr>
      <w:r>
        <w:rPr>
          <w:sz w:val="21"/>
          <w:szCs w:val="21"/>
        </w:rPr>
        <w:t>a.每月巡视检查3次，发现问题及时解决并做出记录。</w:t>
      </w:r>
    </w:p>
    <w:p w14:paraId="51440B3A">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b.每二年给各类管道及阀门刷防锈漆一次；</w:t>
      </w:r>
    </w:p>
    <w:p w14:paraId="658729B5">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c.每半年阀门上油保养一次。</w:t>
      </w:r>
    </w:p>
    <w:p w14:paraId="32FBF155">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实施效果：</w:t>
      </w:r>
    </w:p>
    <w:p w14:paraId="067C62A7">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a.管道畅通无渗漏现象；</w:t>
      </w:r>
    </w:p>
    <w:p w14:paraId="2EED591C">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b.各阀门配件无跑冒滴漏现象；</w:t>
      </w:r>
    </w:p>
    <w:p w14:paraId="0D3CDFCF">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c.完好率100%。</w:t>
      </w:r>
    </w:p>
    <w:p w14:paraId="18B1BCDE">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备注：意季节性养护，冬季前做好防冻工作。</w:t>
      </w:r>
    </w:p>
    <w:p w14:paraId="01199906">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B：设备名称：落水管</w:t>
      </w:r>
    </w:p>
    <w:p w14:paraId="095B0839">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日常维修计划：每月巡视检查一次，发现问题及时解决并做好记录。</w:t>
      </w:r>
    </w:p>
    <w:p w14:paraId="6E8FADD9">
      <w:pPr>
        <w:keepNext w:val="0"/>
        <w:keepLines w:val="0"/>
        <w:pageBreakBefore w:val="0"/>
        <w:widowControl w:val="0"/>
        <w:kinsoku/>
        <w:wordWrap/>
        <w:overflowPunct/>
        <w:topLinePunct w:val="0"/>
        <w:autoSpaceDE/>
        <w:autoSpaceDN/>
        <w:bidi w:val="0"/>
        <w:spacing w:line="360" w:lineRule="auto"/>
        <w:ind w:firstLine="480"/>
        <w:rPr>
          <w:sz w:val="21"/>
          <w:szCs w:val="21"/>
        </w:rPr>
      </w:pPr>
      <w:r>
        <w:rPr>
          <w:sz w:val="21"/>
          <w:szCs w:val="21"/>
        </w:rPr>
        <w:t>实施效果：</w:t>
      </w:r>
    </w:p>
    <w:p w14:paraId="42AA1DFD">
      <w:pPr>
        <w:keepNext w:val="0"/>
        <w:keepLines w:val="0"/>
        <w:pageBreakBefore w:val="0"/>
        <w:widowControl w:val="0"/>
        <w:kinsoku/>
        <w:wordWrap/>
        <w:overflowPunct/>
        <w:topLinePunct w:val="0"/>
        <w:autoSpaceDE/>
        <w:autoSpaceDN/>
        <w:bidi w:val="0"/>
        <w:spacing w:line="360" w:lineRule="auto"/>
        <w:ind w:firstLine="480"/>
        <w:rPr>
          <w:sz w:val="21"/>
          <w:szCs w:val="21"/>
        </w:rPr>
      </w:pPr>
      <w:r>
        <w:rPr>
          <w:sz w:val="21"/>
          <w:szCs w:val="21"/>
        </w:rPr>
        <w:t>a.使用功能正常；</w:t>
      </w:r>
    </w:p>
    <w:p w14:paraId="20DC8C26">
      <w:pPr>
        <w:keepNext w:val="0"/>
        <w:keepLines w:val="0"/>
        <w:pageBreakBefore w:val="0"/>
        <w:widowControl w:val="0"/>
        <w:kinsoku/>
        <w:wordWrap/>
        <w:overflowPunct/>
        <w:topLinePunct w:val="0"/>
        <w:autoSpaceDE/>
        <w:autoSpaceDN/>
        <w:bidi w:val="0"/>
        <w:spacing w:line="360" w:lineRule="auto"/>
        <w:ind w:firstLine="480"/>
        <w:rPr>
          <w:sz w:val="21"/>
          <w:szCs w:val="21"/>
        </w:rPr>
      </w:pPr>
      <w:r>
        <w:rPr>
          <w:sz w:val="21"/>
          <w:szCs w:val="21"/>
        </w:rPr>
        <w:t>b.管道畅通无渗漏现象；</w:t>
      </w:r>
    </w:p>
    <w:p w14:paraId="3648E6DB">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c.各阀门配件无跑冒滴漏；</w:t>
      </w:r>
    </w:p>
    <w:p w14:paraId="7035DEB3">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d.完好率100%。</w:t>
      </w:r>
    </w:p>
    <w:p w14:paraId="31D8EE4C">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C：设施名称：排风机</w:t>
      </w:r>
    </w:p>
    <w:p w14:paraId="4490BD7B">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日常维修计划：每周巡视检查</w:t>
      </w:r>
    </w:p>
    <w:p w14:paraId="3E4628CA">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a.电机噪音及运转情况；</w:t>
      </w:r>
    </w:p>
    <w:p w14:paraId="1E8BEB54">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b.轴承过滤网。</w:t>
      </w:r>
    </w:p>
    <w:p w14:paraId="465848AA">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实施效果：a.保证使用季运转正常；b.外观整洁。</w:t>
      </w:r>
    </w:p>
    <w:p w14:paraId="6D643790">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D：设施名称：各种水泵</w:t>
      </w:r>
    </w:p>
    <w:p w14:paraId="499D5258">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日常维修计划：</w:t>
      </w:r>
    </w:p>
    <w:p w14:paraId="7813C8F1">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a.每季度注油一次；</w:t>
      </w:r>
    </w:p>
    <w:p w14:paraId="6B83947B">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b.每周检查轴承情况；</w:t>
      </w:r>
    </w:p>
    <w:p w14:paraId="681CA3DC">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c.消防泵每季度试运作一次</w:t>
      </w:r>
    </w:p>
    <w:p w14:paraId="77DDCA90">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实施方案：工程部负责维修及检验。</w:t>
      </w:r>
    </w:p>
    <w:p w14:paraId="58331BBD">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实施效果：a.保证使用运转正常；b.外观整洁。</w:t>
      </w:r>
    </w:p>
    <w:p w14:paraId="0593D323">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E: 其他维护</w:t>
      </w:r>
    </w:p>
    <w:p w14:paraId="0D2718CA">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a.对中央空调、分体空调进行保养：风机盘管、相关阀门、供回水管路、冷凝水管路、保温、温度控制器、清洗、保养、加氟。</w:t>
      </w:r>
    </w:p>
    <w:p w14:paraId="4D594091">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b.每季度对设备进行一次保养，在每个使用季度结束后停机期间，投标人指派专业人士对设备使用情况做详细检查，对可能影响正常使用的隐患及时处理。</w:t>
      </w:r>
    </w:p>
    <w:p w14:paraId="6008011F">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c.在空调设备出现故障、渗水、漏水、不能供冷、供热等隐患时，维保单位要在接到报修后及时到达采购人设备现场，解决问题。</w:t>
      </w:r>
    </w:p>
    <w:p w14:paraId="19D22F15">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F: 值班人员要求</w:t>
      </w:r>
    </w:p>
    <w:p w14:paraId="08F42740">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a.要确保安全运行；要保证用户部门的温度，要充分发挥制冷设备的效率，降低水、电、油、燃气的消耗。</w:t>
      </w:r>
    </w:p>
    <w:p w14:paraId="29BF9C06">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b.四勤是要勤看仪表，勤摸设备温度，勤听设备运作有无杂声，勤了解用户部门的要求。</w:t>
      </w:r>
    </w:p>
    <w:p w14:paraId="65F8962F">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c.管理人员应定时检查设备运转情况，并严禁外人进入。冬季设备停止运转时，必须放掉水泵以及水管的积水，避免冻破。</w:t>
      </w:r>
    </w:p>
    <w:p w14:paraId="7072DCC4">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p>
    <w:p w14:paraId="36B2F19D">
      <w:pPr>
        <w:pStyle w:val="5"/>
        <w:keepNext w:val="0"/>
        <w:keepLines w:val="0"/>
        <w:pageBreakBefore w:val="0"/>
        <w:widowControl w:val="0"/>
        <w:kinsoku/>
        <w:wordWrap/>
        <w:overflowPunct/>
        <w:topLinePunct w:val="0"/>
        <w:autoSpaceDE/>
        <w:autoSpaceDN/>
        <w:bidi w:val="0"/>
        <w:spacing w:line="360" w:lineRule="auto"/>
        <w:ind w:firstLine="0" w:firstLineChars="0"/>
        <w:rPr>
          <w:rFonts w:cs="Times New Roman"/>
          <w:b/>
          <w:sz w:val="21"/>
          <w:szCs w:val="21"/>
        </w:rPr>
      </w:pPr>
      <w:bookmarkStart w:id="9" w:name="_Toc612"/>
      <w:r>
        <w:rPr>
          <w:rFonts w:hint="eastAsia" w:ascii="宋体" w:hAnsi="宋体"/>
          <w:b/>
          <w:bCs/>
          <w:kern w:val="0"/>
          <w:sz w:val="21"/>
          <w:szCs w:val="21"/>
          <w:lang w:val="en-US" w:eastAsia="zh-CN"/>
        </w:rPr>
        <w:t>4.9</w:t>
      </w:r>
      <w:r>
        <w:rPr>
          <w:rFonts w:cs="Times New Roman"/>
          <w:b/>
          <w:sz w:val="21"/>
          <w:szCs w:val="21"/>
        </w:rPr>
        <w:t>消防维保</w:t>
      </w:r>
      <w:bookmarkEnd w:id="9"/>
    </w:p>
    <w:p w14:paraId="67899C90">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马家楼接济服务中心消防系统维护保养（含消防供水水源，室外消防供水管网及消火栓系统，室内消火栓系统，室内消防自动喷淋系统，火灾自动报警系统，消防联动系统，消防电气火灾漏电报警系统，消防广播系统，消防直通电话系统，消防防排烟系统，卷帘门系统）。</w:t>
      </w:r>
    </w:p>
    <w:p w14:paraId="21F8FA35">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（1）火灾自动报警系统(含报警控制器、消防控制柜/盘、火灾探测器、手动报警按钮/破玻按钮及警铃、监视/控制模块、模块箱/端子箱、消防电话、报警线路)</w:t>
      </w:r>
    </w:p>
    <w:p w14:paraId="7CD0E486">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（2）可燃气体灭火系统(含报警控制器、可燃气体探测器、报警线路)</w:t>
      </w:r>
    </w:p>
    <w:p w14:paraId="66C4F1BF">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（3）消防水源(消防水池、消防水箱、消防供水设备、水泵接合器)</w:t>
      </w:r>
    </w:p>
    <w:p w14:paraId="302641CF">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（4）室内、外消防栓系统(管网、支吊架、阀门、消火栓箱、室外消火栓、水泵接合器、联动试验)</w:t>
      </w:r>
    </w:p>
    <w:p w14:paraId="1007E51E">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（5）消防冷却水系统(管网、支吊架、阀门、喷头、联动)</w:t>
      </w:r>
    </w:p>
    <w:p w14:paraId="6FAABD8C">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（6）消防电源、应急照明及应急疏散指示系统(蓄电池、专用消防电源、消防设备房应急照明、疏散指示灯、安全出口标志、消防电源)</w:t>
      </w:r>
    </w:p>
    <w:p w14:paraId="0941CF12">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（7）泡沫灭火系统(泡沫消防泵、泡沫液储罐、泡沫比例混合器、泡沫产生器、管道、电动阀、泡沫消火栓、泡沫喷头、联动功能、泡沫水喷淋)</w:t>
      </w:r>
    </w:p>
    <w:p w14:paraId="334E16EF">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（8）消防炮系统(消防炮外观,转运灵活性,遥控功能,管路)</w:t>
      </w:r>
    </w:p>
    <w:p w14:paraId="7840A4B5">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（9）水幕系统(水幕喷头、管路、控制系统)</w:t>
      </w:r>
    </w:p>
    <w:p w14:paraId="619EE0A6">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（10）防火门(包括门扇,磁力锁,闭门器,合页铰链地弹簧,门锁等)</w:t>
      </w:r>
    </w:p>
    <w:p w14:paraId="13D15EBB">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（11）灭火器(手提式灭火器、推车式灭火器)(设置位置,保护范围,有效期限)</w:t>
      </w:r>
    </w:p>
    <w:p w14:paraId="296F293F">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bookmarkStart w:id="10" w:name="_Toc29831"/>
    </w:p>
    <w:p w14:paraId="28104169">
      <w:pPr>
        <w:pStyle w:val="5"/>
        <w:keepNext w:val="0"/>
        <w:keepLines w:val="0"/>
        <w:pageBreakBefore w:val="0"/>
        <w:widowControl w:val="0"/>
        <w:kinsoku/>
        <w:wordWrap/>
        <w:overflowPunct/>
        <w:topLinePunct w:val="0"/>
        <w:autoSpaceDE/>
        <w:autoSpaceDN/>
        <w:bidi w:val="0"/>
        <w:spacing w:line="360" w:lineRule="auto"/>
        <w:ind w:firstLine="0" w:firstLineChars="0"/>
        <w:rPr>
          <w:rFonts w:cs="Times New Roman"/>
          <w:b/>
          <w:sz w:val="21"/>
          <w:szCs w:val="21"/>
        </w:rPr>
      </w:pPr>
      <w:r>
        <w:rPr>
          <w:rFonts w:hint="eastAsia" w:ascii="宋体" w:hAnsi="宋体"/>
          <w:b/>
          <w:bCs/>
          <w:kern w:val="0"/>
          <w:sz w:val="21"/>
          <w:szCs w:val="21"/>
          <w:lang w:val="en-US" w:eastAsia="zh-CN"/>
        </w:rPr>
        <w:t>4.10</w:t>
      </w:r>
      <w:r>
        <w:rPr>
          <w:rFonts w:cs="Times New Roman"/>
          <w:b/>
          <w:sz w:val="21"/>
          <w:szCs w:val="21"/>
        </w:rPr>
        <w:t>后厨维保</w:t>
      </w:r>
      <w:bookmarkEnd w:id="10"/>
    </w:p>
    <w:p w14:paraId="66F9DAF3">
      <w:pPr>
        <w:keepNext w:val="0"/>
        <w:keepLines w:val="0"/>
        <w:pageBreakBefore w:val="0"/>
        <w:widowControl w:val="0"/>
        <w:kinsoku/>
        <w:wordWrap/>
        <w:overflowPunct/>
        <w:topLinePunct w:val="0"/>
        <w:autoSpaceDE/>
        <w:autoSpaceDN/>
        <w:bidi w:val="0"/>
        <w:spacing w:line="360" w:lineRule="auto"/>
        <w:rPr>
          <w:sz w:val="21"/>
          <w:szCs w:val="21"/>
        </w:rPr>
      </w:pPr>
      <w:r>
        <w:rPr>
          <w:rFonts w:hint="eastAsia"/>
          <w:sz w:val="21"/>
          <w:szCs w:val="21"/>
          <w:lang w:val="en-US" w:eastAsia="zh-CN"/>
        </w:rPr>
        <w:t>4.10.1</w:t>
      </w:r>
      <w:r>
        <w:rPr>
          <w:sz w:val="21"/>
          <w:szCs w:val="21"/>
        </w:rPr>
        <w:t>后厨设备维修保养</w:t>
      </w:r>
    </w:p>
    <w:p w14:paraId="34094DB3">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（1）食堂设备定期进行安全检查。</w:t>
      </w:r>
    </w:p>
    <w:p w14:paraId="404CD0CF">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2）对现场实施定期和不定期检查，重点检查设备电路和安全装置是否安全、有效、可靠。设备是否带病作业，是否有异常现象；金属结构部分是否开焊、开裂、变形；连接部位是否牢固、可靠；是否定期保养、清洁；操作人员是否持证上岗；有无违章指挥、违章作为行为等。</w:t>
      </w:r>
    </w:p>
    <w:p w14:paraId="3E3DB3B4">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（3）对接地装置、机身垂直度等，应定期检查、检测。</w:t>
      </w:r>
    </w:p>
    <w:p w14:paraId="1CAC1C9B">
      <w:pPr>
        <w:keepNext w:val="0"/>
        <w:keepLines w:val="0"/>
        <w:pageBreakBefore w:val="0"/>
        <w:widowControl w:val="0"/>
        <w:kinsoku/>
        <w:wordWrap/>
        <w:overflowPunct/>
        <w:topLinePunct w:val="0"/>
        <w:autoSpaceDE/>
        <w:autoSpaceDN/>
        <w:bidi w:val="0"/>
        <w:spacing w:line="360" w:lineRule="auto"/>
        <w:rPr>
          <w:sz w:val="21"/>
          <w:szCs w:val="21"/>
        </w:rPr>
      </w:pPr>
      <w:r>
        <w:rPr>
          <w:rFonts w:hint="eastAsia"/>
          <w:sz w:val="21"/>
          <w:szCs w:val="21"/>
          <w:lang w:val="en-US" w:eastAsia="zh-CN"/>
        </w:rPr>
        <w:t>4.10.2</w:t>
      </w:r>
      <w:r>
        <w:rPr>
          <w:sz w:val="21"/>
          <w:szCs w:val="21"/>
        </w:rPr>
        <w:t>具体维修保养</w:t>
      </w:r>
    </w:p>
    <w:p w14:paraId="29861C49">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（1）烤箱</w:t>
      </w:r>
    </w:p>
    <w:p w14:paraId="40C85355">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每天清洗烤箱的表面，检查所有线路是否畅通。保持链条和开关的连接性。保证其工作效率。</w:t>
      </w:r>
    </w:p>
    <w:p w14:paraId="3435BA12">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（2）炉灶</w:t>
      </w:r>
    </w:p>
    <w:p w14:paraId="0D9D4016">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每天清洗炉灶上的铁架及不锈钢盘。</w:t>
      </w:r>
    </w:p>
    <w:p w14:paraId="1AEF1FF9">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（3）扒炉</w:t>
      </w:r>
    </w:p>
    <w:p w14:paraId="4172200F">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每天清洗钢板，经常检查扒板的天然气喷头并保持清洁。定期调整天然气的喷头和点火装置。</w:t>
      </w:r>
    </w:p>
    <w:p w14:paraId="5B6D8555">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（4）油炸炉</w:t>
      </w:r>
    </w:p>
    <w:p w14:paraId="416E216D">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每天清洗油炉内壁及过虑网。定期调整天然气的喷头和点火装置。检查排油管装置。</w:t>
      </w:r>
    </w:p>
    <w:p w14:paraId="738051E0">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（5）蒸柜</w:t>
      </w:r>
    </w:p>
    <w:p w14:paraId="1CBDEF2A">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每天清洗蒸柜内壁及隔板，定期检查蒸汽管阀门及天然气与空气的混合装置。</w:t>
      </w:r>
    </w:p>
    <w:p w14:paraId="4C35AF3D">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（6）冰柜</w:t>
      </w:r>
    </w:p>
    <w:p w14:paraId="1CAF969C">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每天保持冰箱的内外部清洁，经常检查电源及温度控制装置。保持冰箱压缩机的正常工作状态。</w:t>
      </w:r>
    </w:p>
    <w:p w14:paraId="652803CD">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（7）洗碗机</w:t>
      </w:r>
    </w:p>
    <w:p w14:paraId="4C3D6701">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每天保持洗碗机内外部的清洁。定期进行一次内部的除水垢，经常检查清洁剂及催干剂的使用情况，防止异物堵塞。</w:t>
      </w:r>
    </w:p>
    <w:p w14:paraId="28913760">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（8）其它厨房设备</w:t>
      </w:r>
    </w:p>
    <w:p w14:paraId="320F9BBD">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每次使用后要进行彻底的清洁，经常维护，定期为齿轮和轴承上油。定期为电机检修一次。</w:t>
      </w:r>
    </w:p>
    <w:p w14:paraId="37D8A746">
      <w:pPr>
        <w:keepNext w:val="0"/>
        <w:keepLines w:val="0"/>
        <w:pageBreakBefore w:val="0"/>
        <w:widowControl w:val="0"/>
        <w:kinsoku/>
        <w:wordWrap/>
        <w:overflowPunct/>
        <w:topLinePunct w:val="0"/>
        <w:autoSpaceDE/>
        <w:autoSpaceDN/>
        <w:bidi w:val="0"/>
        <w:spacing w:line="360" w:lineRule="auto"/>
        <w:rPr>
          <w:rStyle w:val="6"/>
          <w:rFonts w:hint="default" w:ascii="Times New Roman" w:hAnsi="Times New Roman"/>
          <w:sz w:val="21"/>
          <w:szCs w:val="21"/>
        </w:rPr>
      </w:pPr>
      <w:r>
        <w:rPr>
          <w:rFonts w:hint="eastAsia"/>
          <w:sz w:val="21"/>
          <w:szCs w:val="21"/>
          <w:lang w:val="en-US" w:eastAsia="zh-CN"/>
        </w:rPr>
        <w:t>4.10.3</w:t>
      </w:r>
      <w:r>
        <w:rPr>
          <w:sz w:val="21"/>
          <w:szCs w:val="21"/>
        </w:rPr>
        <w:t>后厨排烟系统清洗维护</w:t>
      </w:r>
    </w:p>
    <w:p w14:paraId="20311CB4">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（1）烟罩及灶台清洗</w:t>
      </w:r>
    </w:p>
    <w:p w14:paraId="711A20AC">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清洗内容包括烟罩表面、烟罩内的灯罩、排风口以及灶台表面，清洁重点部位是通过排烟口与烟罩相连，并于烟罩同步平行的排烟道。</w:t>
      </w:r>
    </w:p>
    <w:p w14:paraId="5ABCBC9D">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（2）风机和油烟净化器清洗</w:t>
      </w:r>
    </w:p>
    <w:p w14:paraId="313DCFCB">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对风机表面进行清洁及将风机进行拆卸后，对其内部进行清洁。对于油烟净化器，提供内置过滤网的清洗。</w:t>
      </w:r>
    </w:p>
    <w:p w14:paraId="473E4D2B">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（3）风机连接帆布或烟道清洗</w:t>
      </w:r>
    </w:p>
    <w:p w14:paraId="6A9984F7">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（4）烟道清洁</w:t>
      </w:r>
    </w:p>
    <w:p w14:paraId="1E9E8ADC">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烟道一般有横烟道和竖烟道。对横烟道进行清洁，我们按烟道开孔方式进行烟道内油垢清洗。对于竖道烟道，采用高压射流加强力化油剂，对烟道进行除油清洗。</w:t>
      </w:r>
    </w:p>
    <w:p w14:paraId="4C26583A">
      <w:pPr>
        <w:keepNext w:val="0"/>
        <w:keepLines w:val="0"/>
        <w:pageBreakBefore w:val="0"/>
        <w:widowControl w:val="0"/>
        <w:kinsoku/>
        <w:wordWrap/>
        <w:overflowPunct/>
        <w:topLinePunct w:val="0"/>
        <w:autoSpaceDE/>
        <w:autoSpaceDN/>
        <w:bidi w:val="0"/>
        <w:spacing w:line="360" w:lineRule="auto"/>
        <w:rPr>
          <w:sz w:val="21"/>
          <w:szCs w:val="21"/>
        </w:rPr>
      </w:pPr>
      <w:r>
        <w:rPr>
          <w:sz w:val="21"/>
          <w:szCs w:val="21"/>
        </w:rPr>
        <w:tab/>
      </w:r>
      <w:r>
        <w:rPr>
          <w:sz w:val="21"/>
          <w:szCs w:val="21"/>
        </w:rPr>
        <w:t>（5）油烟管道清洁标准</w:t>
      </w:r>
    </w:p>
    <w:p w14:paraId="41520534">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 xml:space="preserve"> 1）烟罩同步烟道90%以上见到烟道原有的内壁铁皮色，不残留块状干涸油污。</w:t>
      </w:r>
    </w:p>
    <w:p w14:paraId="75ED27AC">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 xml:space="preserve"> 2）烟罩及灶台表面清洗，做到表面无油垢，光亮整洁。</w:t>
      </w:r>
    </w:p>
    <w:p w14:paraId="39E4C9D0">
      <w:pPr>
        <w:keepNext w:val="0"/>
        <w:keepLines w:val="0"/>
        <w:pageBreakBefore w:val="0"/>
        <w:widowControl w:val="0"/>
        <w:kinsoku/>
        <w:wordWrap/>
        <w:overflowPunct/>
        <w:topLinePunct w:val="0"/>
        <w:autoSpaceDE/>
        <w:autoSpaceDN/>
        <w:bidi w:val="0"/>
        <w:spacing w:line="360" w:lineRule="auto"/>
        <w:ind w:firstLine="420" w:firstLineChars="200"/>
        <w:rPr>
          <w:sz w:val="21"/>
          <w:szCs w:val="21"/>
        </w:rPr>
      </w:pPr>
      <w:r>
        <w:rPr>
          <w:sz w:val="21"/>
          <w:szCs w:val="21"/>
        </w:rPr>
        <w:t xml:space="preserve"> 3）风机叶轮达到表面90%以上能够见到底漆，电机底部无沉淀的油污。</w:t>
      </w:r>
    </w:p>
    <w:p w14:paraId="0A9BCAB1">
      <w:pPr>
        <w:pStyle w:val="5"/>
        <w:keepNext w:val="0"/>
        <w:keepLines w:val="0"/>
        <w:pageBreakBefore w:val="0"/>
        <w:widowControl w:val="0"/>
        <w:kinsoku/>
        <w:wordWrap/>
        <w:overflowPunct/>
        <w:topLinePunct w:val="0"/>
        <w:autoSpaceDE/>
        <w:autoSpaceDN/>
        <w:bidi w:val="0"/>
        <w:spacing w:line="360" w:lineRule="auto"/>
        <w:ind w:firstLine="0" w:firstLineChars="0"/>
        <w:rPr>
          <w:rFonts w:cs="Times New Roman"/>
          <w:b/>
          <w:sz w:val="21"/>
          <w:szCs w:val="21"/>
        </w:rPr>
      </w:pPr>
      <w:bookmarkStart w:id="11" w:name="_Toc6210"/>
      <w:r>
        <w:rPr>
          <w:rFonts w:hint="eastAsia" w:ascii="宋体" w:hAnsi="宋体"/>
          <w:b/>
          <w:bCs/>
          <w:kern w:val="0"/>
          <w:sz w:val="21"/>
          <w:szCs w:val="21"/>
          <w:lang w:val="en-US" w:eastAsia="zh-CN"/>
        </w:rPr>
        <w:t>4.11</w:t>
      </w:r>
      <w:r>
        <w:rPr>
          <w:rFonts w:cs="Times New Roman"/>
          <w:b/>
          <w:sz w:val="21"/>
          <w:szCs w:val="21"/>
        </w:rPr>
        <w:t>应急工作</w:t>
      </w:r>
      <w:bookmarkEnd w:id="11"/>
    </w:p>
    <w:p w14:paraId="65094FF6">
      <w:pPr>
        <w:keepNext w:val="0"/>
        <w:keepLines w:val="0"/>
        <w:pageBreakBefore w:val="0"/>
        <w:widowControl w:val="0"/>
        <w:kinsoku/>
        <w:wordWrap/>
        <w:overflowPunct/>
        <w:topLinePunct w:val="0"/>
        <w:autoSpaceDE/>
        <w:autoSpaceDN/>
        <w:bidi w:val="0"/>
        <w:snapToGrid w:val="0"/>
        <w:spacing w:line="360" w:lineRule="auto"/>
        <w:rPr>
          <w:sz w:val="21"/>
          <w:szCs w:val="21"/>
        </w:rPr>
      </w:pPr>
      <w:r>
        <w:rPr>
          <w:rFonts w:hint="eastAsia"/>
          <w:sz w:val="21"/>
          <w:szCs w:val="21"/>
          <w:lang w:val="en-US" w:eastAsia="zh-CN"/>
        </w:rPr>
        <w:t>4.11.1</w:t>
      </w:r>
      <w:r>
        <w:rPr>
          <w:sz w:val="21"/>
          <w:szCs w:val="21"/>
        </w:rPr>
        <w:t>物业项目区域内安全防范管理</w:t>
      </w:r>
    </w:p>
    <w:p w14:paraId="2F6A95D4">
      <w:pPr>
        <w:keepNext w:val="0"/>
        <w:keepLines w:val="0"/>
        <w:pageBreakBefore w:val="0"/>
        <w:widowControl w:val="0"/>
        <w:kinsoku/>
        <w:wordWrap/>
        <w:overflowPunct/>
        <w:topLinePunct w:val="0"/>
        <w:autoSpaceDE/>
        <w:autoSpaceDN/>
        <w:bidi w:val="0"/>
        <w:snapToGrid w:val="0"/>
        <w:spacing w:line="360" w:lineRule="auto"/>
        <w:ind w:firstLine="420" w:firstLineChars="200"/>
        <w:rPr>
          <w:sz w:val="21"/>
          <w:szCs w:val="21"/>
        </w:rPr>
      </w:pPr>
      <w:r>
        <w:rPr>
          <w:sz w:val="21"/>
          <w:szCs w:val="21"/>
        </w:rPr>
        <w:t>封闭管理，24小时监控所辖管理范围的消防和安全，随时处理突发事件。</w:t>
      </w:r>
    </w:p>
    <w:p w14:paraId="7DE78F90">
      <w:pPr>
        <w:keepNext w:val="0"/>
        <w:keepLines w:val="0"/>
        <w:pageBreakBefore w:val="0"/>
        <w:widowControl w:val="0"/>
        <w:kinsoku/>
        <w:wordWrap/>
        <w:overflowPunct/>
        <w:topLinePunct w:val="0"/>
        <w:autoSpaceDE/>
        <w:autoSpaceDN/>
        <w:bidi w:val="0"/>
        <w:snapToGrid w:val="0"/>
        <w:spacing w:line="360" w:lineRule="auto"/>
        <w:rPr>
          <w:sz w:val="21"/>
          <w:szCs w:val="21"/>
        </w:rPr>
      </w:pPr>
      <w:r>
        <w:rPr>
          <w:bCs/>
          <w:sz w:val="21"/>
          <w:szCs w:val="21"/>
        </w:rPr>
        <w:t>（1）管理原则</w:t>
      </w:r>
    </w:p>
    <w:p w14:paraId="39234693">
      <w:pPr>
        <w:keepNext w:val="0"/>
        <w:keepLines w:val="0"/>
        <w:pageBreakBefore w:val="0"/>
        <w:widowControl w:val="0"/>
        <w:kinsoku/>
        <w:wordWrap/>
        <w:overflowPunct/>
        <w:topLinePunct w:val="0"/>
        <w:autoSpaceDE/>
        <w:autoSpaceDN/>
        <w:bidi w:val="0"/>
        <w:snapToGrid w:val="0"/>
        <w:spacing w:line="360" w:lineRule="auto"/>
        <w:ind w:firstLine="420" w:firstLineChars="200"/>
        <w:rPr>
          <w:sz w:val="21"/>
          <w:szCs w:val="21"/>
        </w:rPr>
      </w:pPr>
      <w:r>
        <w:rPr>
          <w:sz w:val="21"/>
          <w:szCs w:val="21"/>
        </w:rPr>
        <w:t>A.有效监控重点区域和公共秩序。</w:t>
      </w:r>
    </w:p>
    <w:p w14:paraId="05E570B2">
      <w:pPr>
        <w:keepNext w:val="0"/>
        <w:keepLines w:val="0"/>
        <w:pageBreakBefore w:val="0"/>
        <w:widowControl w:val="0"/>
        <w:kinsoku/>
        <w:wordWrap/>
        <w:overflowPunct/>
        <w:topLinePunct w:val="0"/>
        <w:autoSpaceDE/>
        <w:autoSpaceDN/>
        <w:bidi w:val="0"/>
        <w:snapToGrid w:val="0"/>
        <w:spacing w:line="360" w:lineRule="auto"/>
        <w:ind w:firstLine="420" w:firstLineChars="200"/>
        <w:rPr>
          <w:sz w:val="21"/>
          <w:szCs w:val="21"/>
        </w:rPr>
      </w:pPr>
      <w:r>
        <w:rPr>
          <w:sz w:val="21"/>
          <w:szCs w:val="21"/>
        </w:rPr>
        <w:t>B.人防、技防、群防 “三防” 并重。</w:t>
      </w:r>
    </w:p>
    <w:p w14:paraId="0455D2F8">
      <w:pPr>
        <w:keepNext w:val="0"/>
        <w:keepLines w:val="0"/>
        <w:pageBreakBefore w:val="0"/>
        <w:widowControl w:val="0"/>
        <w:kinsoku/>
        <w:wordWrap/>
        <w:overflowPunct/>
        <w:topLinePunct w:val="0"/>
        <w:autoSpaceDE/>
        <w:autoSpaceDN/>
        <w:bidi w:val="0"/>
        <w:snapToGrid w:val="0"/>
        <w:spacing w:line="360" w:lineRule="auto"/>
        <w:ind w:firstLine="420" w:firstLineChars="200"/>
        <w:rPr>
          <w:sz w:val="21"/>
          <w:szCs w:val="21"/>
        </w:rPr>
      </w:pPr>
      <w:r>
        <w:rPr>
          <w:sz w:val="21"/>
          <w:szCs w:val="21"/>
        </w:rPr>
        <w:t>C.中央监控和属地管理相结合。</w:t>
      </w:r>
    </w:p>
    <w:p w14:paraId="4B5B78D0">
      <w:pPr>
        <w:keepNext w:val="0"/>
        <w:keepLines w:val="0"/>
        <w:pageBreakBefore w:val="0"/>
        <w:widowControl w:val="0"/>
        <w:kinsoku/>
        <w:wordWrap/>
        <w:overflowPunct/>
        <w:topLinePunct w:val="0"/>
        <w:autoSpaceDE/>
        <w:autoSpaceDN/>
        <w:bidi w:val="0"/>
        <w:snapToGrid w:val="0"/>
        <w:spacing w:line="360" w:lineRule="auto"/>
        <w:rPr>
          <w:bCs/>
          <w:sz w:val="21"/>
          <w:szCs w:val="21"/>
        </w:rPr>
      </w:pPr>
      <w:r>
        <w:rPr>
          <w:bCs/>
          <w:sz w:val="21"/>
          <w:szCs w:val="21"/>
        </w:rPr>
        <w:t>（2）管理目标</w:t>
      </w:r>
    </w:p>
    <w:p w14:paraId="145F021A">
      <w:pPr>
        <w:keepNext w:val="0"/>
        <w:keepLines w:val="0"/>
        <w:pageBreakBefore w:val="0"/>
        <w:widowControl w:val="0"/>
        <w:kinsoku/>
        <w:wordWrap/>
        <w:overflowPunct/>
        <w:topLinePunct w:val="0"/>
        <w:autoSpaceDE/>
        <w:autoSpaceDN/>
        <w:bidi w:val="0"/>
        <w:snapToGrid w:val="0"/>
        <w:spacing w:line="360" w:lineRule="auto"/>
        <w:ind w:firstLine="420" w:firstLineChars="200"/>
        <w:rPr>
          <w:sz w:val="21"/>
          <w:szCs w:val="21"/>
        </w:rPr>
      </w:pPr>
      <w:r>
        <w:rPr>
          <w:rFonts w:hint="eastAsia"/>
          <w:sz w:val="21"/>
          <w:szCs w:val="21"/>
        </w:rPr>
        <w:t>没有</w:t>
      </w:r>
      <w:r>
        <w:rPr>
          <w:sz w:val="21"/>
          <w:szCs w:val="21"/>
        </w:rPr>
        <w:t>因物业服务疏漏而造成的治安事件发生。</w:t>
      </w:r>
    </w:p>
    <w:p w14:paraId="09D828A3">
      <w:pPr>
        <w:keepNext w:val="0"/>
        <w:keepLines w:val="0"/>
        <w:pageBreakBefore w:val="0"/>
        <w:widowControl w:val="0"/>
        <w:kinsoku/>
        <w:wordWrap/>
        <w:overflowPunct/>
        <w:topLinePunct w:val="0"/>
        <w:autoSpaceDE/>
        <w:autoSpaceDN/>
        <w:bidi w:val="0"/>
        <w:snapToGrid w:val="0"/>
        <w:spacing w:line="360" w:lineRule="auto"/>
        <w:rPr>
          <w:sz w:val="21"/>
          <w:szCs w:val="21"/>
        </w:rPr>
      </w:pPr>
      <w:r>
        <w:rPr>
          <w:rFonts w:hint="eastAsia"/>
          <w:sz w:val="21"/>
          <w:szCs w:val="21"/>
          <w:lang w:val="en-US" w:eastAsia="zh-CN"/>
        </w:rPr>
        <w:t>4.11.2</w:t>
      </w:r>
      <w:r>
        <w:rPr>
          <w:sz w:val="21"/>
          <w:szCs w:val="21"/>
        </w:rPr>
        <w:t>应急工作</w:t>
      </w:r>
    </w:p>
    <w:p w14:paraId="0E53F4D9">
      <w:pPr>
        <w:keepNext w:val="0"/>
        <w:keepLines w:val="0"/>
        <w:pageBreakBefore w:val="0"/>
        <w:widowControl w:val="0"/>
        <w:kinsoku/>
        <w:wordWrap/>
        <w:overflowPunct/>
        <w:topLinePunct w:val="0"/>
        <w:autoSpaceDE/>
        <w:autoSpaceDN/>
        <w:bidi w:val="0"/>
        <w:snapToGrid w:val="0"/>
        <w:spacing w:line="360" w:lineRule="auto"/>
        <w:ind w:firstLine="420" w:firstLineChars="200"/>
        <w:rPr>
          <w:sz w:val="21"/>
          <w:szCs w:val="21"/>
        </w:rPr>
      </w:pPr>
      <w:r>
        <w:rPr>
          <w:sz w:val="21"/>
          <w:szCs w:val="21"/>
        </w:rPr>
        <w:t>制定相应应急预案并对突发事件进行紧急处理。</w:t>
      </w:r>
    </w:p>
    <w:p w14:paraId="5FAB9498">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Times New Roman" w:hAnsi="Times New Roman" w:eastAsia="宋体" w:cs="Times New Roman"/>
          <w:bCs w:val="0"/>
          <w:sz w:val="21"/>
          <w:szCs w:val="21"/>
          <w:highlight w:val="none"/>
          <w:lang w:eastAsia="zh-CN"/>
        </w:rPr>
      </w:pPr>
    </w:p>
    <w:p w14:paraId="535E1478">
      <w:pPr>
        <w:keepNext w:val="0"/>
        <w:keepLines w:val="0"/>
        <w:pageBreakBefore w:val="0"/>
        <w:widowControl w:val="0"/>
        <w:numPr>
          <w:ilvl w:val="0"/>
          <w:numId w:val="0"/>
        </w:numPr>
        <w:kinsoku/>
        <w:wordWrap/>
        <w:overflowPunct/>
        <w:topLinePunct w:val="0"/>
        <w:autoSpaceDE/>
        <w:autoSpaceDN/>
        <w:bidi w:val="0"/>
        <w:spacing w:line="360" w:lineRule="auto"/>
        <w:jc w:val="left"/>
        <w:rPr>
          <w:rFonts w:hint="eastAsia" w:ascii="宋体" w:hAnsi="宋体" w:cs="宋体"/>
          <w:b/>
          <w:sz w:val="28"/>
          <w:szCs w:val="28"/>
          <w:lang w:val="en-US" w:eastAsia="zh-CN"/>
        </w:rPr>
      </w:pPr>
      <w:r>
        <w:rPr>
          <w:rFonts w:hint="eastAsia" w:ascii="宋体" w:hAnsi="宋体" w:cs="宋体"/>
          <w:b/>
          <w:sz w:val="28"/>
          <w:szCs w:val="28"/>
        </w:rPr>
        <w:t>三、</w:t>
      </w:r>
      <w:r>
        <w:rPr>
          <w:rFonts w:hint="eastAsia" w:ascii="宋体" w:hAnsi="宋体" w:cs="宋体"/>
          <w:b/>
          <w:sz w:val="28"/>
          <w:szCs w:val="28"/>
          <w:lang w:val="en-US" w:eastAsia="zh-CN"/>
        </w:rPr>
        <w:t>采购标的的其他技术、服务等要求</w:t>
      </w:r>
    </w:p>
    <w:p w14:paraId="29DFA438">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sz w:val="21"/>
          <w:szCs w:val="21"/>
        </w:rPr>
      </w:pPr>
      <w:r>
        <w:rPr>
          <w:rFonts w:hint="eastAsia"/>
          <w:sz w:val="21"/>
          <w:szCs w:val="21"/>
          <w:lang w:val="en-US" w:eastAsia="zh-CN"/>
        </w:rPr>
        <w:t>1.</w:t>
      </w:r>
      <w:r>
        <w:rPr>
          <w:rFonts w:hint="eastAsia"/>
          <w:sz w:val="21"/>
          <w:szCs w:val="21"/>
        </w:rPr>
        <w:t>投标人按本合同约定提供的物业管理服务应达到国家及北京市地方现行标准，并按本合同约定的物业服务事项和标准提供物业服务。</w:t>
      </w:r>
    </w:p>
    <w:p w14:paraId="0D5A0321">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sz w:val="21"/>
          <w:szCs w:val="21"/>
        </w:rPr>
      </w:pPr>
      <w:r>
        <w:rPr>
          <w:rFonts w:hint="eastAsia"/>
          <w:sz w:val="21"/>
          <w:szCs w:val="21"/>
          <w:lang w:val="en-US" w:eastAsia="zh-CN"/>
        </w:rPr>
        <w:t>2.</w:t>
      </w:r>
      <w:r>
        <w:rPr>
          <w:rFonts w:hint="eastAsia"/>
          <w:sz w:val="21"/>
          <w:szCs w:val="21"/>
        </w:rPr>
        <w:t>采购人监督投标人履行本合同，对投标人提供的物业服务有建议、督促的权利；</w:t>
      </w:r>
    </w:p>
    <w:p w14:paraId="1011EA09">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sz w:val="21"/>
          <w:szCs w:val="21"/>
        </w:rPr>
      </w:pPr>
      <w:r>
        <w:rPr>
          <w:rFonts w:hint="eastAsia"/>
          <w:sz w:val="21"/>
          <w:szCs w:val="21"/>
          <w:lang w:val="en-US" w:eastAsia="zh-CN"/>
        </w:rPr>
        <w:t>3.</w:t>
      </w:r>
      <w:r>
        <w:rPr>
          <w:rFonts w:hint="eastAsia"/>
          <w:sz w:val="21"/>
          <w:szCs w:val="21"/>
        </w:rPr>
        <w:t>投标人妥善保管和正确使用本物业的档案资料，及时记载有关变更信息，不得将业主信息用于物业管理活动之外的其他用途；</w:t>
      </w:r>
    </w:p>
    <w:p w14:paraId="1640938E">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sz w:val="21"/>
          <w:szCs w:val="21"/>
        </w:rPr>
      </w:pPr>
      <w:r>
        <w:rPr>
          <w:rFonts w:hint="eastAsia"/>
          <w:sz w:val="21"/>
          <w:szCs w:val="21"/>
          <w:lang w:val="en-US" w:eastAsia="zh-CN"/>
        </w:rPr>
        <w:t>4.</w:t>
      </w:r>
      <w:r>
        <w:rPr>
          <w:rFonts w:hint="eastAsia"/>
          <w:sz w:val="21"/>
          <w:szCs w:val="21"/>
        </w:rPr>
        <w:t>投标人遵守管理规约以及物业管理区域内物业共用部分的使用、公共秩序和环境卫生的维护等方面的规章制度；</w:t>
      </w:r>
    </w:p>
    <w:p w14:paraId="71ABC675">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sz w:val="21"/>
          <w:szCs w:val="21"/>
        </w:rPr>
      </w:pPr>
      <w:r>
        <w:rPr>
          <w:rFonts w:hint="eastAsia"/>
          <w:sz w:val="21"/>
          <w:szCs w:val="21"/>
          <w:lang w:val="en-US" w:eastAsia="zh-CN"/>
        </w:rPr>
        <w:t>5.</w:t>
      </w:r>
      <w:r>
        <w:rPr>
          <w:rFonts w:hint="eastAsia"/>
          <w:sz w:val="21"/>
          <w:szCs w:val="21"/>
        </w:rPr>
        <w:t>投标人根据合同和有关规章制度提供的管理服务给予必要配合；</w:t>
      </w:r>
    </w:p>
    <w:p w14:paraId="3B111E20">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sz w:val="21"/>
          <w:szCs w:val="21"/>
        </w:rPr>
      </w:pPr>
      <w:r>
        <w:rPr>
          <w:rFonts w:hint="eastAsia"/>
          <w:sz w:val="21"/>
          <w:szCs w:val="21"/>
          <w:lang w:val="en-US" w:eastAsia="zh-CN"/>
        </w:rPr>
        <w:t>6.</w:t>
      </w:r>
      <w:r>
        <w:rPr>
          <w:rFonts w:hint="eastAsia"/>
          <w:sz w:val="21"/>
          <w:szCs w:val="21"/>
        </w:rPr>
        <w:t>投标人需提供管理人员详细情况及结构图，物业费用明细测算，物业服务各项工作标准；</w:t>
      </w:r>
    </w:p>
    <w:p w14:paraId="399E61C1">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sz w:val="21"/>
          <w:szCs w:val="21"/>
        </w:rPr>
      </w:pPr>
      <w:r>
        <w:rPr>
          <w:rFonts w:hint="eastAsia"/>
          <w:sz w:val="21"/>
          <w:szCs w:val="21"/>
          <w:lang w:val="en-US" w:eastAsia="zh-CN"/>
        </w:rPr>
        <w:t>7.</w:t>
      </w:r>
      <w:r>
        <w:rPr>
          <w:rFonts w:hint="eastAsia"/>
          <w:sz w:val="21"/>
          <w:szCs w:val="21"/>
        </w:rPr>
        <w:t>未经采购人同意，供应商不得擅自采用分包方式履行合同，中标人不得将本合同物业服务内容擅自分包、转包或委托其他任何第三方完成，中标人不得将全部采购项目或者采购项目中的主体或关键性项目转让给其他供应商，否则，采购人有权终止合同，中标人的履约保证金不予退还。转包或分包造成采购人损失的，中标人应承担相应赔偿责任。</w:t>
      </w:r>
    </w:p>
    <w:p w14:paraId="5551BD19">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8.可以分包的具体事项</w:t>
      </w:r>
    </w:p>
    <w:tbl>
      <w:tblPr>
        <w:tblStyle w:val="3"/>
        <w:tblW w:w="8318" w:type="dxa"/>
        <w:tblInd w:w="-11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92" w:type="dxa"/>
          <w:bottom w:w="0" w:type="dxa"/>
          <w:right w:w="92" w:type="dxa"/>
        </w:tblCellMar>
      </w:tblPr>
      <w:tblGrid>
        <w:gridCol w:w="715"/>
        <w:gridCol w:w="3732"/>
        <w:gridCol w:w="1360"/>
        <w:gridCol w:w="2511"/>
      </w:tblGrid>
      <w:tr w14:paraId="38C6B1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92" w:type="dxa"/>
            <w:bottom w:w="0" w:type="dxa"/>
            <w:right w:w="92" w:type="dxa"/>
          </w:tblCellMar>
        </w:tblPrEx>
        <w:trPr>
          <w:trHeight w:val="902" w:hRule="atLeast"/>
        </w:trPr>
        <w:tc>
          <w:tcPr>
            <w:tcW w:w="715" w:type="dxa"/>
            <w:noWrap w:val="0"/>
            <w:vAlign w:val="center"/>
          </w:tcPr>
          <w:p w14:paraId="002315F2">
            <w:pPr>
              <w:keepNext w:val="0"/>
              <w:keepLines w:val="0"/>
              <w:pageBreakBefore w:val="0"/>
              <w:kinsoku/>
              <w:wordWrap/>
              <w:overflowPunct/>
              <w:topLinePunct w:val="0"/>
              <w:autoSpaceDE/>
              <w:autoSpaceDN/>
              <w:bidi w:val="0"/>
              <w:spacing w:before="157" w:beforeLines="50" w:after="157" w:afterLines="50" w:line="400" w:lineRule="exact"/>
              <w:jc w:val="center"/>
              <w:textAlignment w:val="auto"/>
              <w:rPr>
                <w:rFonts w:eastAsia="楷体"/>
                <w:sz w:val="21"/>
                <w:szCs w:val="21"/>
              </w:rPr>
            </w:pPr>
            <w:r>
              <w:rPr>
                <w:rFonts w:hint="eastAsia"/>
                <w:sz w:val="21"/>
                <w:szCs w:val="21"/>
              </w:rPr>
              <w:t>序号</w:t>
            </w:r>
          </w:p>
        </w:tc>
        <w:tc>
          <w:tcPr>
            <w:tcW w:w="3732" w:type="dxa"/>
            <w:noWrap w:val="0"/>
            <w:vAlign w:val="center"/>
          </w:tcPr>
          <w:p w14:paraId="4A51D70E">
            <w:pPr>
              <w:keepNext w:val="0"/>
              <w:keepLines w:val="0"/>
              <w:pageBreakBefore w:val="0"/>
              <w:kinsoku/>
              <w:wordWrap/>
              <w:overflowPunct/>
              <w:topLinePunct w:val="0"/>
              <w:autoSpaceDE/>
              <w:autoSpaceDN/>
              <w:bidi w:val="0"/>
              <w:spacing w:before="157" w:beforeLines="50" w:after="157" w:afterLines="50" w:line="400" w:lineRule="exact"/>
              <w:jc w:val="center"/>
              <w:textAlignment w:val="auto"/>
              <w:rPr>
                <w:rFonts w:eastAsia="楷体"/>
                <w:sz w:val="21"/>
                <w:szCs w:val="21"/>
              </w:rPr>
            </w:pPr>
            <w:r>
              <w:rPr>
                <w:rFonts w:hint="eastAsia"/>
                <w:sz w:val="21"/>
                <w:szCs w:val="21"/>
              </w:rPr>
              <w:t>事项</w:t>
            </w:r>
          </w:p>
        </w:tc>
        <w:tc>
          <w:tcPr>
            <w:tcW w:w="1360" w:type="dxa"/>
            <w:noWrap w:val="0"/>
            <w:vAlign w:val="center"/>
          </w:tcPr>
          <w:p w14:paraId="53291634">
            <w:pPr>
              <w:keepNext w:val="0"/>
              <w:keepLines w:val="0"/>
              <w:pageBreakBefore w:val="0"/>
              <w:kinsoku/>
              <w:wordWrap/>
              <w:overflowPunct/>
              <w:topLinePunct w:val="0"/>
              <w:autoSpaceDE/>
              <w:autoSpaceDN/>
              <w:bidi w:val="0"/>
              <w:spacing w:before="157" w:beforeLines="50" w:after="157" w:afterLines="50"/>
              <w:jc w:val="center"/>
              <w:textAlignment w:val="auto"/>
              <w:rPr>
                <w:rFonts w:eastAsia="楷体"/>
                <w:sz w:val="21"/>
                <w:szCs w:val="21"/>
              </w:rPr>
            </w:pPr>
            <w:r>
              <w:rPr>
                <w:rFonts w:hint="eastAsia"/>
                <w:sz w:val="21"/>
                <w:szCs w:val="21"/>
              </w:rPr>
              <w:t>最高预算</w:t>
            </w:r>
            <w:r>
              <w:rPr>
                <w:sz w:val="21"/>
                <w:szCs w:val="21"/>
              </w:rPr>
              <w:t>金额</w:t>
            </w:r>
            <w:r>
              <w:rPr>
                <w:rFonts w:hint="eastAsia"/>
                <w:sz w:val="21"/>
                <w:szCs w:val="21"/>
              </w:rPr>
              <w:t>（元）</w:t>
            </w:r>
          </w:p>
        </w:tc>
        <w:tc>
          <w:tcPr>
            <w:tcW w:w="2511" w:type="dxa"/>
            <w:noWrap w:val="0"/>
            <w:vAlign w:val="center"/>
          </w:tcPr>
          <w:p w14:paraId="0D53DF6A">
            <w:pPr>
              <w:keepNext w:val="0"/>
              <w:keepLines w:val="0"/>
              <w:pageBreakBefore w:val="0"/>
              <w:kinsoku/>
              <w:wordWrap/>
              <w:overflowPunct/>
              <w:topLinePunct w:val="0"/>
              <w:autoSpaceDE/>
              <w:autoSpaceDN/>
              <w:bidi w:val="0"/>
              <w:spacing w:before="157" w:beforeLines="50" w:after="157" w:afterLines="50" w:line="400" w:lineRule="exact"/>
              <w:jc w:val="center"/>
              <w:textAlignment w:val="auto"/>
              <w:rPr>
                <w:sz w:val="21"/>
                <w:szCs w:val="21"/>
              </w:rPr>
            </w:pPr>
            <w:r>
              <w:rPr>
                <w:rFonts w:hint="eastAsia"/>
                <w:sz w:val="21"/>
                <w:szCs w:val="21"/>
              </w:rPr>
              <w:t>资质名称</w:t>
            </w:r>
          </w:p>
        </w:tc>
      </w:tr>
      <w:tr w14:paraId="1D9F2B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92" w:type="dxa"/>
            <w:bottom w:w="0" w:type="dxa"/>
            <w:right w:w="92" w:type="dxa"/>
          </w:tblCellMar>
        </w:tblPrEx>
        <w:trPr>
          <w:trHeight w:val="603" w:hRule="atLeast"/>
        </w:trPr>
        <w:tc>
          <w:tcPr>
            <w:tcW w:w="715" w:type="dxa"/>
            <w:noWrap w:val="0"/>
            <w:vAlign w:val="center"/>
          </w:tcPr>
          <w:p w14:paraId="73875C5E">
            <w:pPr>
              <w:keepNext w:val="0"/>
              <w:keepLines w:val="0"/>
              <w:pageBreakBefore w:val="0"/>
              <w:kinsoku/>
              <w:wordWrap/>
              <w:overflowPunct/>
              <w:topLinePunct w:val="0"/>
              <w:autoSpaceDE/>
              <w:autoSpaceDN/>
              <w:bidi w:val="0"/>
              <w:spacing w:before="157" w:beforeLines="50" w:after="157" w:afterLines="50"/>
              <w:jc w:val="center"/>
              <w:textAlignment w:val="auto"/>
              <w:rPr>
                <w:rFonts w:hint="eastAsia" w:eastAsia="宋体"/>
                <w:sz w:val="21"/>
                <w:szCs w:val="21"/>
                <w:lang w:eastAsia="zh-CN"/>
              </w:rPr>
            </w:pPr>
            <w:r>
              <w:rPr>
                <w:rFonts w:hint="eastAsia"/>
                <w:sz w:val="21"/>
                <w:szCs w:val="21"/>
                <w:lang w:val="en-US" w:eastAsia="zh-CN"/>
              </w:rPr>
              <w:t>1</w:t>
            </w:r>
          </w:p>
        </w:tc>
        <w:tc>
          <w:tcPr>
            <w:tcW w:w="3732" w:type="dxa"/>
            <w:noWrap w:val="0"/>
            <w:vAlign w:val="center"/>
          </w:tcPr>
          <w:p w14:paraId="60E31751">
            <w:pPr>
              <w:keepNext w:val="0"/>
              <w:keepLines w:val="0"/>
              <w:pageBreakBefore w:val="0"/>
              <w:kinsoku/>
              <w:wordWrap/>
              <w:overflowPunct/>
              <w:topLinePunct w:val="0"/>
              <w:autoSpaceDE/>
              <w:autoSpaceDN/>
              <w:bidi w:val="0"/>
              <w:spacing w:before="157" w:beforeLines="50" w:after="157" w:afterLines="50"/>
              <w:textAlignment w:val="auto"/>
              <w:rPr>
                <w:sz w:val="21"/>
                <w:szCs w:val="21"/>
              </w:rPr>
            </w:pPr>
            <w:r>
              <w:rPr>
                <w:rFonts w:hint="eastAsia"/>
                <w:sz w:val="21"/>
                <w:szCs w:val="21"/>
              </w:rPr>
              <w:t>消电检</w:t>
            </w:r>
          </w:p>
        </w:tc>
        <w:tc>
          <w:tcPr>
            <w:tcW w:w="1360" w:type="dxa"/>
            <w:noWrap w:val="0"/>
            <w:vAlign w:val="center"/>
          </w:tcPr>
          <w:p w14:paraId="0A577640">
            <w:pPr>
              <w:keepNext w:val="0"/>
              <w:keepLines w:val="0"/>
              <w:pageBreakBefore w:val="0"/>
              <w:kinsoku/>
              <w:wordWrap/>
              <w:overflowPunct/>
              <w:topLinePunct w:val="0"/>
              <w:autoSpaceDE/>
              <w:autoSpaceDN/>
              <w:bidi w:val="0"/>
              <w:spacing w:before="157" w:beforeLines="50" w:after="157" w:afterLines="50"/>
              <w:jc w:val="center"/>
              <w:textAlignment w:val="auto"/>
              <w:rPr>
                <w:sz w:val="21"/>
                <w:szCs w:val="21"/>
              </w:rPr>
            </w:pPr>
            <w:r>
              <w:rPr>
                <w:rFonts w:hint="eastAsia"/>
                <w:sz w:val="21"/>
                <w:szCs w:val="21"/>
              </w:rPr>
              <w:t>48487</w:t>
            </w:r>
          </w:p>
        </w:tc>
        <w:tc>
          <w:tcPr>
            <w:tcW w:w="2511" w:type="dxa"/>
            <w:noWrap w:val="0"/>
            <w:vAlign w:val="center"/>
          </w:tcPr>
          <w:p w14:paraId="58372D86">
            <w:pPr>
              <w:keepNext w:val="0"/>
              <w:keepLines w:val="0"/>
              <w:pageBreakBefore w:val="0"/>
              <w:kinsoku/>
              <w:wordWrap/>
              <w:overflowPunct/>
              <w:topLinePunct w:val="0"/>
              <w:autoSpaceDE/>
              <w:autoSpaceDN/>
              <w:bidi w:val="0"/>
              <w:spacing w:before="157" w:beforeLines="50" w:after="157" w:afterLines="50"/>
              <w:textAlignment w:val="auto"/>
              <w:rPr>
                <w:sz w:val="21"/>
                <w:szCs w:val="21"/>
              </w:rPr>
            </w:pPr>
            <w:r>
              <w:rPr>
                <w:rFonts w:hint="eastAsia"/>
                <w:sz w:val="21"/>
                <w:szCs w:val="21"/>
              </w:rPr>
              <w:t>无</w:t>
            </w:r>
          </w:p>
        </w:tc>
      </w:tr>
      <w:tr w14:paraId="56A015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92" w:type="dxa"/>
            <w:bottom w:w="0" w:type="dxa"/>
            <w:right w:w="92" w:type="dxa"/>
          </w:tblCellMar>
        </w:tblPrEx>
        <w:trPr>
          <w:trHeight w:val="603" w:hRule="atLeast"/>
        </w:trPr>
        <w:tc>
          <w:tcPr>
            <w:tcW w:w="715" w:type="dxa"/>
            <w:noWrap w:val="0"/>
            <w:vAlign w:val="center"/>
          </w:tcPr>
          <w:p w14:paraId="78FF6A5F">
            <w:pPr>
              <w:keepNext w:val="0"/>
              <w:keepLines w:val="0"/>
              <w:pageBreakBefore w:val="0"/>
              <w:kinsoku/>
              <w:wordWrap/>
              <w:overflowPunct/>
              <w:topLinePunct w:val="0"/>
              <w:autoSpaceDE/>
              <w:autoSpaceDN/>
              <w:bidi w:val="0"/>
              <w:spacing w:before="157" w:beforeLines="50" w:after="157" w:afterLines="50"/>
              <w:jc w:val="center"/>
              <w:textAlignment w:val="auto"/>
              <w:rPr>
                <w:rFonts w:hint="eastAsia" w:eastAsia="宋体"/>
                <w:sz w:val="21"/>
                <w:szCs w:val="21"/>
                <w:lang w:eastAsia="zh-CN"/>
              </w:rPr>
            </w:pPr>
            <w:r>
              <w:rPr>
                <w:rFonts w:hint="eastAsia"/>
                <w:sz w:val="21"/>
                <w:szCs w:val="21"/>
                <w:lang w:val="en-US" w:eastAsia="zh-CN"/>
              </w:rPr>
              <w:t>2</w:t>
            </w:r>
          </w:p>
        </w:tc>
        <w:tc>
          <w:tcPr>
            <w:tcW w:w="3732" w:type="dxa"/>
            <w:noWrap w:val="0"/>
            <w:vAlign w:val="center"/>
          </w:tcPr>
          <w:p w14:paraId="2A8A4AAD">
            <w:pPr>
              <w:keepNext w:val="0"/>
              <w:keepLines w:val="0"/>
              <w:pageBreakBefore w:val="0"/>
              <w:kinsoku/>
              <w:wordWrap/>
              <w:overflowPunct/>
              <w:topLinePunct w:val="0"/>
              <w:autoSpaceDE/>
              <w:autoSpaceDN/>
              <w:bidi w:val="0"/>
              <w:spacing w:before="157" w:beforeLines="50" w:after="157" w:afterLines="50"/>
              <w:textAlignment w:val="auto"/>
              <w:rPr>
                <w:sz w:val="21"/>
                <w:szCs w:val="21"/>
              </w:rPr>
            </w:pPr>
            <w:r>
              <w:rPr>
                <w:rFonts w:hint="eastAsia"/>
                <w:sz w:val="21"/>
                <w:szCs w:val="21"/>
              </w:rPr>
              <w:t>电梯设备巡检、维护保养及年检</w:t>
            </w:r>
          </w:p>
        </w:tc>
        <w:tc>
          <w:tcPr>
            <w:tcW w:w="1360" w:type="dxa"/>
            <w:noWrap w:val="0"/>
            <w:vAlign w:val="center"/>
          </w:tcPr>
          <w:p w14:paraId="0941698D">
            <w:pPr>
              <w:keepNext w:val="0"/>
              <w:keepLines w:val="0"/>
              <w:pageBreakBefore w:val="0"/>
              <w:kinsoku/>
              <w:wordWrap/>
              <w:overflowPunct/>
              <w:topLinePunct w:val="0"/>
              <w:autoSpaceDE/>
              <w:autoSpaceDN/>
              <w:bidi w:val="0"/>
              <w:spacing w:before="157" w:beforeLines="50" w:after="157" w:afterLines="50"/>
              <w:jc w:val="center"/>
              <w:textAlignment w:val="auto"/>
              <w:rPr>
                <w:sz w:val="21"/>
                <w:szCs w:val="21"/>
              </w:rPr>
            </w:pPr>
            <w:r>
              <w:rPr>
                <w:rFonts w:hint="eastAsia"/>
                <w:sz w:val="21"/>
                <w:szCs w:val="21"/>
              </w:rPr>
              <w:t>54439</w:t>
            </w:r>
          </w:p>
        </w:tc>
        <w:tc>
          <w:tcPr>
            <w:tcW w:w="2511" w:type="dxa"/>
            <w:noWrap w:val="0"/>
            <w:vAlign w:val="center"/>
          </w:tcPr>
          <w:p w14:paraId="14612F51">
            <w:pPr>
              <w:keepNext w:val="0"/>
              <w:keepLines w:val="0"/>
              <w:pageBreakBefore w:val="0"/>
              <w:kinsoku/>
              <w:wordWrap/>
              <w:overflowPunct/>
              <w:topLinePunct w:val="0"/>
              <w:autoSpaceDE/>
              <w:autoSpaceDN/>
              <w:bidi w:val="0"/>
              <w:spacing w:before="157" w:beforeLines="50" w:after="157" w:afterLines="50"/>
              <w:textAlignment w:val="auto"/>
              <w:rPr>
                <w:sz w:val="21"/>
                <w:szCs w:val="21"/>
              </w:rPr>
            </w:pPr>
            <w:r>
              <w:rPr>
                <w:rFonts w:hint="eastAsia"/>
                <w:sz w:val="21"/>
                <w:szCs w:val="21"/>
              </w:rPr>
              <w:t>根据《中华人民共和国特种设备安全法》第45条规定，投标人应当依法取得电梯制造或电梯安装或电梯改造或电梯修理的资质证书，并提供有效期内的证书复印件。</w:t>
            </w:r>
          </w:p>
        </w:tc>
      </w:tr>
      <w:tr w14:paraId="44F690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92" w:type="dxa"/>
            <w:bottom w:w="0" w:type="dxa"/>
            <w:right w:w="92" w:type="dxa"/>
          </w:tblCellMar>
        </w:tblPrEx>
        <w:trPr>
          <w:trHeight w:val="603" w:hRule="atLeast"/>
        </w:trPr>
        <w:tc>
          <w:tcPr>
            <w:tcW w:w="715" w:type="dxa"/>
            <w:noWrap w:val="0"/>
            <w:vAlign w:val="center"/>
          </w:tcPr>
          <w:p w14:paraId="391085C7">
            <w:pPr>
              <w:keepNext w:val="0"/>
              <w:keepLines w:val="0"/>
              <w:pageBreakBefore w:val="0"/>
              <w:kinsoku/>
              <w:wordWrap/>
              <w:overflowPunct/>
              <w:topLinePunct w:val="0"/>
              <w:autoSpaceDE/>
              <w:autoSpaceDN/>
              <w:bidi w:val="0"/>
              <w:spacing w:before="157" w:beforeLines="50" w:after="157" w:afterLines="50"/>
              <w:jc w:val="center"/>
              <w:textAlignment w:val="auto"/>
              <w:rPr>
                <w:rFonts w:hint="eastAsia" w:eastAsia="宋体"/>
                <w:sz w:val="21"/>
                <w:szCs w:val="21"/>
                <w:lang w:eastAsia="zh-CN"/>
              </w:rPr>
            </w:pPr>
            <w:r>
              <w:rPr>
                <w:rFonts w:hint="eastAsia"/>
                <w:sz w:val="21"/>
                <w:szCs w:val="21"/>
                <w:lang w:val="en-US" w:eastAsia="zh-CN"/>
              </w:rPr>
              <w:t>3</w:t>
            </w:r>
          </w:p>
        </w:tc>
        <w:tc>
          <w:tcPr>
            <w:tcW w:w="3732" w:type="dxa"/>
            <w:noWrap w:val="0"/>
            <w:vAlign w:val="center"/>
          </w:tcPr>
          <w:p w14:paraId="7D80267E">
            <w:pPr>
              <w:keepNext w:val="0"/>
              <w:keepLines w:val="0"/>
              <w:pageBreakBefore w:val="0"/>
              <w:kinsoku/>
              <w:wordWrap/>
              <w:overflowPunct/>
              <w:topLinePunct w:val="0"/>
              <w:autoSpaceDE/>
              <w:autoSpaceDN/>
              <w:bidi w:val="0"/>
              <w:spacing w:before="157" w:beforeLines="50" w:after="157" w:afterLines="50"/>
              <w:textAlignment w:val="auto"/>
              <w:rPr>
                <w:rFonts w:hint="eastAsia" w:eastAsia="宋体"/>
                <w:sz w:val="21"/>
                <w:szCs w:val="21"/>
                <w:lang w:eastAsia="zh-CN"/>
              </w:rPr>
            </w:pPr>
            <w:r>
              <w:rPr>
                <w:rFonts w:hint="eastAsia"/>
                <w:sz w:val="21"/>
                <w:szCs w:val="21"/>
              </w:rPr>
              <w:t>后厨维保</w:t>
            </w:r>
            <w:r>
              <w:rPr>
                <w:rFonts w:hint="eastAsia"/>
                <w:sz w:val="21"/>
                <w:szCs w:val="21"/>
                <w:lang w:eastAsia="zh-CN"/>
              </w:rPr>
              <w:t>和烟道清洗</w:t>
            </w:r>
          </w:p>
        </w:tc>
        <w:tc>
          <w:tcPr>
            <w:tcW w:w="1360" w:type="dxa"/>
            <w:noWrap w:val="0"/>
            <w:vAlign w:val="center"/>
          </w:tcPr>
          <w:p w14:paraId="5DB7D52C">
            <w:pPr>
              <w:keepNext w:val="0"/>
              <w:keepLines w:val="0"/>
              <w:pageBreakBefore w:val="0"/>
              <w:kinsoku/>
              <w:wordWrap/>
              <w:overflowPunct/>
              <w:topLinePunct w:val="0"/>
              <w:autoSpaceDE/>
              <w:autoSpaceDN/>
              <w:bidi w:val="0"/>
              <w:spacing w:before="157" w:beforeLines="50" w:after="157" w:afterLines="50"/>
              <w:jc w:val="center"/>
              <w:textAlignment w:val="auto"/>
              <w:rPr>
                <w:rFonts w:hint="default" w:eastAsia="宋体"/>
                <w:sz w:val="21"/>
                <w:szCs w:val="21"/>
                <w:lang w:val="en-US" w:eastAsia="zh-CN"/>
              </w:rPr>
            </w:pPr>
            <w:r>
              <w:rPr>
                <w:rFonts w:hint="eastAsia"/>
                <w:sz w:val="21"/>
                <w:szCs w:val="21"/>
                <w:lang w:val="en-US" w:eastAsia="zh-CN"/>
              </w:rPr>
              <w:t>98982</w:t>
            </w:r>
          </w:p>
        </w:tc>
        <w:tc>
          <w:tcPr>
            <w:tcW w:w="2511" w:type="dxa"/>
            <w:noWrap w:val="0"/>
            <w:vAlign w:val="center"/>
          </w:tcPr>
          <w:p w14:paraId="1314EBBB">
            <w:pPr>
              <w:keepNext w:val="0"/>
              <w:keepLines w:val="0"/>
              <w:pageBreakBefore w:val="0"/>
              <w:kinsoku/>
              <w:wordWrap/>
              <w:overflowPunct/>
              <w:topLinePunct w:val="0"/>
              <w:autoSpaceDE/>
              <w:autoSpaceDN/>
              <w:bidi w:val="0"/>
              <w:spacing w:before="157" w:beforeLines="50" w:after="157" w:afterLines="50"/>
              <w:textAlignment w:val="auto"/>
              <w:rPr>
                <w:sz w:val="21"/>
                <w:szCs w:val="21"/>
              </w:rPr>
            </w:pPr>
            <w:r>
              <w:rPr>
                <w:rFonts w:hint="eastAsia"/>
                <w:sz w:val="21"/>
                <w:szCs w:val="21"/>
              </w:rPr>
              <w:t>无</w:t>
            </w:r>
          </w:p>
        </w:tc>
      </w:tr>
      <w:tr w14:paraId="3BF26B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92" w:type="dxa"/>
            <w:bottom w:w="0" w:type="dxa"/>
            <w:right w:w="92" w:type="dxa"/>
          </w:tblCellMar>
        </w:tblPrEx>
        <w:trPr>
          <w:trHeight w:val="603" w:hRule="atLeast"/>
        </w:trPr>
        <w:tc>
          <w:tcPr>
            <w:tcW w:w="715" w:type="dxa"/>
            <w:noWrap w:val="0"/>
            <w:vAlign w:val="center"/>
          </w:tcPr>
          <w:p w14:paraId="53A84E4F">
            <w:pPr>
              <w:keepNext w:val="0"/>
              <w:keepLines w:val="0"/>
              <w:pageBreakBefore w:val="0"/>
              <w:kinsoku/>
              <w:wordWrap/>
              <w:overflowPunct/>
              <w:topLinePunct w:val="0"/>
              <w:autoSpaceDE/>
              <w:autoSpaceDN/>
              <w:bidi w:val="0"/>
              <w:spacing w:before="157" w:beforeLines="50" w:after="157" w:afterLines="50"/>
              <w:jc w:val="center"/>
              <w:textAlignment w:val="auto"/>
              <w:rPr>
                <w:rFonts w:hint="eastAsia" w:eastAsia="宋体"/>
                <w:sz w:val="21"/>
                <w:szCs w:val="21"/>
                <w:lang w:eastAsia="zh-CN"/>
              </w:rPr>
            </w:pPr>
            <w:r>
              <w:rPr>
                <w:rFonts w:hint="eastAsia"/>
                <w:sz w:val="21"/>
                <w:szCs w:val="21"/>
                <w:lang w:val="en-US" w:eastAsia="zh-CN"/>
              </w:rPr>
              <w:t>4</w:t>
            </w:r>
          </w:p>
        </w:tc>
        <w:tc>
          <w:tcPr>
            <w:tcW w:w="3732" w:type="dxa"/>
            <w:noWrap w:val="0"/>
            <w:vAlign w:val="center"/>
          </w:tcPr>
          <w:p w14:paraId="6E7BB110">
            <w:pPr>
              <w:keepNext w:val="0"/>
              <w:keepLines w:val="0"/>
              <w:pageBreakBefore w:val="0"/>
              <w:kinsoku/>
              <w:wordWrap/>
              <w:overflowPunct/>
              <w:topLinePunct w:val="0"/>
              <w:autoSpaceDE/>
              <w:autoSpaceDN/>
              <w:bidi w:val="0"/>
              <w:spacing w:before="157" w:beforeLines="50" w:after="157" w:afterLines="50"/>
              <w:textAlignment w:val="auto"/>
              <w:rPr>
                <w:sz w:val="21"/>
                <w:szCs w:val="21"/>
              </w:rPr>
            </w:pPr>
            <w:r>
              <w:rPr>
                <w:rFonts w:hint="eastAsia" w:ascii="宋体" w:hAnsi="宋体" w:cs="宋体"/>
                <w:bCs/>
                <w:sz w:val="21"/>
                <w:szCs w:val="21"/>
                <w:lang w:eastAsia="zh-CN"/>
              </w:rPr>
              <w:t>分体空调和中央空调系统的运行维护保养</w:t>
            </w:r>
          </w:p>
        </w:tc>
        <w:tc>
          <w:tcPr>
            <w:tcW w:w="1360" w:type="dxa"/>
            <w:noWrap w:val="0"/>
            <w:vAlign w:val="center"/>
          </w:tcPr>
          <w:p w14:paraId="001C1DB8">
            <w:pPr>
              <w:keepNext w:val="0"/>
              <w:keepLines w:val="0"/>
              <w:pageBreakBefore w:val="0"/>
              <w:kinsoku/>
              <w:wordWrap/>
              <w:overflowPunct/>
              <w:topLinePunct w:val="0"/>
              <w:autoSpaceDE/>
              <w:autoSpaceDN/>
              <w:bidi w:val="0"/>
              <w:spacing w:before="157" w:beforeLines="50" w:after="157" w:afterLines="50"/>
              <w:jc w:val="center"/>
              <w:textAlignment w:val="auto"/>
              <w:rPr>
                <w:rFonts w:hint="default" w:eastAsia="宋体"/>
                <w:sz w:val="21"/>
                <w:szCs w:val="21"/>
                <w:lang w:val="en-US" w:eastAsia="zh-CN"/>
              </w:rPr>
            </w:pPr>
            <w:r>
              <w:rPr>
                <w:rFonts w:hint="eastAsia"/>
                <w:sz w:val="21"/>
                <w:szCs w:val="21"/>
                <w:lang w:val="en-US" w:eastAsia="zh-CN"/>
              </w:rPr>
              <w:t>341572</w:t>
            </w:r>
          </w:p>
        </w:tc>
        <w:tc>
          <w:tcPr>
            <w:tcW w:w="2511" w:type="dxa"/>
            <w:noWrap w:val="0"/>
            <w:vAlign w:val="center"/>
          </w:tcPr>
          <w:p w14:paraId="344D1D7D">
            <w:pPr>
              <w:keepNext w:val="0"/>
              <w:keepLines w:val="0"/>
              <w:pageBreakBefore w:val="0"/>
              <w:kinsoku/>
              <w:wordWrap/>
              <w:overflowPunct/>
              <w:topLinePunct w:val="0"/>
              <w:autoSpaceDE/>
              <w:autoSpaceDN/>
              <w:bidi w:val="0"/>
              <w:spacing w:before="157" w:beforeLines="50" w:after="157" w:afterLines="50"/>
              <w:textAlignment w:val="auto"/>
              <w:rPr>
                <w:sz w:val="21"/>
                <w:szCs w:val="21"/>
              </w:rPr>
            </w:pPr>
            <w:r>
              <w:rPr>
                <w:rFonts w:hint="eastAsia"/>
                <w:sz w:val="21"/>
                <w:szCs w:val="21"/>
              </w:rPr>
              <w:t>无</w:t>
            </w:r>
          </w:p>
        </w:tc>
      </w:tr>
      <w:tr w14:paraId="64078A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92" w:type="dxa"/>
            <w:bottom w:w="0" w:type="dxa"/>
            <w:right w:w="92" w:type="dxa"/>
          </w:tblCellMar>
        </w:tblPrEx>
        <w:trPr>
          <w:trHeight w:val="603" w:hRule="atLeast"/>
        </w:trPr>
        <w:tc>
          <w:tcPr>
            <w:tcW w:w="715" w:type="dxa"/>
            <w:noWrap w:val="0"/>
            <w:vAlign w:val="center"/>
          </w:tcPr>
          <w:p w14:paraId="092D5550">
            <w:pPr>
              <w:keepNext w:val="0"/>
              <w:keepLines w:val="0"/>
              <w:pageBreakBefore w:val="0"/>
              <w:kinsoku/>
              <w:wordWrap/>
              <w:overflowPunct/>
              <w:topLinePunct w:val="0"/>
              <w:autoSpaceDE/>
              <w:autoSpaceDN/>
              <w:bidi w:val="0"/>
              <w:spacing w:before="157" w:beforeLines="50" w:after="157" w:afterLines="50"/>
              <w:jc w:val="center"/>
              <w:textAlignment w:val="auto"/>
              <w:rPr>
                <w:rFonts w:hint="eastAsia" w:eastAsia="宋体"/>
                <w:sz w:val="21"/>
                <w:szCs w:val="21"/>
                <w:lang w:eastAsia="zh-CN"/>
              </w:rPr>
            </w:pPr>
            <w:r>
              <w:rPr>
                <w:rFonts w:hint="eastAsia"/>
                <w:sz w:val="21"/>
                <w:szCs w:val="21"/>
                <w:lang w:val="en-US" w:eastAsia="zh-CN"/>
              </w:rPr>
              <w:t>5</w:t>
            </w:r>
          </w:p>
        </w:tc>
        <w:tc>
          <w:tcPr>
            <w:tcW w:w="3732" w:type="dxa"/>
            <w:noWrap w:val="0"/>
            <w:vAlign w:val="center"/>
          </w:tcPr>
          <w:p w14:paraId="64B4B6B9">
            <w:pPr>
              <w:keepNext w:val="0"/>
              <w:keepLines w:val="0"/>
              <w:pageBreakBefore w:val="0"/>
              <w:kinsoku/>
              <w:wordWrap/>
              <w:overflowPunct/>
              <w:topLinePunct w:val="0"/>
              <w:autoSpaceDE/>
              <w:autoSpaceDN/>
              <w:bidi w:val="0"/>
              <w:spacing w:before="157" w:beforeLines="50" w:after="157" w:afterLines="50"/>
              <w:textAlignment w:val="auto"/>
              <w:rPr>
                <w:sz w:val="21"/>
                <w:szCs w:val="21"/>
              </w:rPr>
            </w:pPr>
            <w:r>
              <w:rPr>
                <w:rFonts w:hint="eastAsia"/>
                <w:sz w:val="21"/>
                <w:szCs w:val="21"/>
              </w:rPr>
              <w:t>消防维保</w:t>
            </w:r>
          </w:p>
        </w:tc>
        <w:tc>
          <w:tcPr>
            <w:tcW w:w="1360" w:type="dxa"/>
            <w:noWrap w:val="0"/>
            <w:vAlign w:val="center"/>
          </w:tcPr>
          <w:p w14:paraId="19DB4B23">
            <w:pPr>
              <w:keepNext w:val="0"/>
              <w:keepLines w:val="0"/>
              <w:pageBreakBefore w:val="0"/>
              <w:kinsoku/>
              <w:wordWrap/>
              <w:overflowPunct/>
              <w:topLinePunct w:val="0"/>
              <w:autoSpaceDE/>
              <w:autoSpaceDN/>
              <w:bidi w:val="0"/>
              <w:spacing w:before="157" w:beforeLines="50" w:after="157" w:afterLines="50"/>
              <w:jc w:val="center"/>
              <w:textAlignment w:val="auto"/>
              <w:rPr>
                <w:sz w:val="21"/>
                <w:szCs w:val="21"/>
              </w:rPr>
            </w:pPr>
            <w:r>
              <w:rPr>
                <w:rFonts w:hint="eastAsia"/>
                <w:sz w:val="21"/>
                <w:szCs w:val="21"/>
              </w:rPr>
              <w:t>46543</w:t>
            </w:r>
          </w:p>
        </w:tc>
        <w:tc>
          <w:tcPr>
            <w:tcW w:w="2511" w:type="dxa"/>
            <w:noWrap w:val="0"/>
            <w:vAlign w:val="center"/>
          </w:tcPr>
          <w:p w14:paraId="003D4588">
            <w:pPr>
              <w:keepNext w:val="0"/>
              <w:keepLines w:val="0"/>
              <w:pageBreakBefore w:val="0"/>
              <w:kinsoku/>
              <w:wordWrap/>
              <w:overflowPunct/>
              <w:topLinePunct w:val="0"/>
              <w:autoSpaceDE/>
              <w:autoSpaceDN/>
              <w:bidi w:val="0"/>
              <w:spacing w:before="157" w:beforeLines="50" w:after="157" w:afterLines="50"/>
              <w:textAlignment w:val="auto"/>
              <w:rPr>
                <w:sz w:val="21"/>
                <w:szCs w:val="21"/>
              </w:rPr>
            </w:pPr>
            <w:r>
              <w:rPr>
                <w:rFonts w:hint="eastAsia"/>
                <w:sz w:val="21"/>
                <w:szCs w:val="21"/>
              </w:rPr>
              <w:t>无</w:t>
            </w:r>
          </w:p>
        </w:tc>
      </w:tr>
      <w:tr w14:paraId="22F9D5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92" w:type="dxa"/>
            <w:bottom w:w="0" w:type="dxa"/>
            <w:right w:w="92" w:type="dxa"/>
          </w:tblCellMar>
        </w:tblPrEx>
        <w:trPr>
          <w:trHeight w:val="603" w:hRule="atLeast"/>
        </w:trPr>
        <w:tc>
          <w:tcPr>
            <w:tcW w:w="715" w:type="dxa"/>
            <w:noWrap w:val="0"/>
            <w:vAlign w:val="center"/>
          </w:tcPr>
          <w:p w14:paraId="1754217E">
            <w:pPr>
              <w:keepNext w:val="0"/>
              <w:keepLines w:val="0"/>
              <w:pageBreakBefore w:val="0"/>
              <w:kinsoku/>
              <w:wordWrap/>
              <w:overflowPunct/>
              <w:topLinePunct w:val="0"/>
              <w:autoSpaceDE/>
              <w:autoSpaceDN/>
              <w:bidi w:val="0"/>
              <w:spacing w:before="157" w:beforeLines="50" w:after="157" w:afterLines="50"/>
              <w:jc w:val="center"/>
              <w:textAlignment w:val="auto"/>
              <w:rPr>
                <w:rFonts w:hint="eastAsia" w:eastAsia="宋体"/>
                <w:sz w:val="21"/>
                <w:szCs w:val="21"/>
                <w:lang w:eastAsia="zh-CN"/>
              </w:rPr>
            </w:pPr>
            <w:r>
              <w:rPr>
                <w:rFonts w:hint="eastAsia"/>
                <w:sz w:val="21"/>
                <w:szCs w:val="21"/>
                <w:lang w:val="en-US" w:eastAsia="zh-CN"/>
              </w:rPr>
              <w:t>6</w:t>
            </w:r>
          </w:p>
        </w:tc>
        <w:tc>
          <w:tcPr>
            <w:tcW w:w="3732" w:type="dxa"/>
            <w:noWrap w:val="0"/>
            <w:vAlign w:val="center"/>
          </w:tcPr>
          <w:p w14:paraId="63052D06">
            <w:pPr>
              <w:keepNext w:val="0"/>
              <w:keepLines w:val="0"/>
              <w:pageBreakBefore w:val="0"/>
              <w:kinsoku/>
              <w:wordWrap/>
              <w:overflowPunct/>
              <w:topLinePunct w:val="0"/>
              <w:autoSpaceDE/>
              <w:autoSpaceDN/>
              <w:bidi w:val="0"/>
              <w:spacing w:before="157" w:beforeLines="50" w:after="157" w:afterLines="50"/>
              <w:textAlignment w:val="auto"/>
              <w:rPr>
                <w:sz w:val="21"/>
                <w:szCs w:val="21"/>
              </w:rPr>
            </w:pPr>
            <w:r>
              <w:rPr>
                <w:rFonts w:hint="eastAsia"/>
                <w:sz w:val="21"/>
                <w:szCs w:val="21"/>
              </w:rPr>
              <w:t>垃圾清运</w:t>
            </w:r>
          </w:p>
        </w:tc>
        <w:tc>
          <w:tcPr>
            <w:tcW w:w="1360" w:type="dxa"/>
            <w:noWrap w:val="0"/>
            <w:vAlign w:val="center"/>
          </w:tcPr>
          <w:p w14:paraId="6BAD86D7">
            <w:pPr>
              <w:keepNext w:val="0"/>
              <w:keepLines w:val="0"/>
              <w:pageBreakBefore w:val="0"/>
              <w:kinsoku/>
              <w:wordWrap/>
              <w:overflowPunct/>
              <w:topLinePunct w:val="0"/>
              <w:autoSpaceDE/>
              <w:autoSpaceDN/>
              <w:bidi w:val="0"/>
              <w:spacing w:before="157" w:beforeLines="50" w:after="157" w:afterLines="50"/>
              <w:jc w:val="center"/>
              <w:textAlignment w:val="auto"/>
              <w:rPr>
                <w:sz w:val="21"/>
                <w:szCs w:val="21"/>
              </w:rPr>
            </w:pPr>
            <w:r>
              <w:rPr>
                <w:rFonts w:hint="eastAsia"/>
                <w:sz w:val="21"/>
                <w:szCs w:val="21"/>
              </w:rPr>
              <w:t>56106</w:t>
            </w:r>
          </w:p>
        </w:tc>
        <w:tc>
          <w:tcPr>
            <w:tcW w:w="2511" w:type="dxa"/>
            <w:noWrap w:val="0"/>
            <w:vAlign w:val="center"/>
          </w:tcPr>
          <w:p w14:paraId="2A94D7CD">
            <w:pPr>
              <w:keepNext w:val="0"/>
              <w:keepLines w:val="0"/>
              <w:pageBreakBefore w:val="0"/>
              <w:kinsoku/>
              <w:wordWrap/>
              <w:overflowPunct/>
              <w:topLinePunct w:val="0"/>
              <w:autoSpaceDE/>
              <w:autoSpaceDN/>
              <w:bidi w:val="0"/>
              <w:spacing w:before="157" w:beforeLines="50" w:after="157" w:afterLines="50"/>
              <w:textAlignment w:val="auto"/>
              <w:rPr>
                <w:sz w:val="21"/>
                <w:szCs w:val="21"/>
              </w:rPr>
            </w:pPr>
            <w:r>
              <w:rPr>
                <w:rFonts w:hint="eastAsia"/>
                <w:sz w:val="21"/>
                <w:szCs w:val="21"/>
              </w:rPr>
              <w:t>垃圾清运单位应具备主管部门颁发的</w:t>
            </w:r>
            <w:r>
              <w:rPr>
                <w:rFonts w:hint="eastAsia"/>
                <w:sz w:val="21"/>
                <w:szCs w:val="21"/>
                <w:lang w:eastAsia="zh-CN"/>
              </w:rPr>
              <w:t>有效期内</w:t>
            </w:r>
            <w:r>
              <w:rPr>
                <w:rFonts w:hint="eastAsia"/>
                <w:sz w:val="21"/>
                <w:szCs w:val="21"/>
              </w:rPr>
              <w:t>行政许可</w:t>
            </w:r>
          </w:p>
        </w:tc>
      </w:tr>
      <w:tr w14:paraId="5A6CEB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92" w:type="dxa"/>
            <w:bottom w:w="0" w:type="dxa"/>
            <w:right w:w="92" w:type="dxa"/>
          </w:tblCellMar>
        </w:tblPrEx>
        <w:trPr>
          <w:trHeight w:val="603" w:hRule="atLeast"/>
        </w:trPr>
        <w:tc>
          <w:tcPr>
            <w:tcW w:w="715" w:type="dxa"/>
            <w:noWrap w:val="0"/>
            <w:vAlign w:val="center"/>
          </w:tcPr>
          <w:p w14:paraId="7349DA4C">
            <w:pPr>
              <w:keepNext w:val="0"/>
              <w:keepLines w:val="0"/>
              <w:pageBreakBefore w:val="0"/>
              <w:kinsoku/>
              <w:wordWrap/>
              <w:overflowPunct/>
              <w:topLinePunct w:val="0"/>
              <w:autoSpaceDE/>
              <w:autoSpaceDN/>
              <w:bidi w:val="0"/>
              <w:spacing w:before="157" w:beforeLines="50" w:after="157" w:afterLines="50"/>
              <w:jc w:val="center"/>
              <w:textAlignment w:val="auto"/>
              <w:rPr>
                <w:rFonts w:hint="eastAsia" w:eastAsia="宋体"/>
                <w:color w:val="000000"/>
                <w:sz w:val="21"/>
                <w:szCs w:val="21"/>
                <w:lang w:eastAsia="zh-CN"/>
              </w:rPr>
            </w:pPr>
            <w:r>
              <w:rPr>
                <w:rFonts w:hint="eastAsia"/>
                <w:color w:val="000000"/>
                <w:sz w:val="21"/>
                <w:szCs w:val="21"/>
                <w:lang w:val="en-US" w:eastAsia="zh-CN"/>
              </w:rPr>
              <w:t>7</w:t>
            </w:r>
          </w:p>
        </w:tc>
        <w:tc>
          <w:tcPr>
            <w:tcW w:w="3732" w:type="dxa"/>
            <w:noWrap w:val="0"/>
            <w:vAlign w:val="center"/>
          </w:tcPr>
          <w:p w14:paraId="6BC18EB5">
            <w:pPr>
              <w:keepNext w:val="0"/>
              <w:keepLines w:val="0"/>
              <w:pageBreakBefore w:val="0"/>
              <w:kinsoku/>
              <w:wordWrap/>
              <w:overflowPunct/>
              <w:topLinePunct w:val="0"/>
              <w:autoSpaceDE/>
              <w:autoSpaceDN/>
              <w:bidi w:val="0"/>
              <w:spacing w:before="157" w:beforeLines="50" w:after="157" w:afterLines="50"/>
              <w:textAlignment w:val="auto"/>
              <w:rPr>
                <w:color w:val="000000"/>
                <w:sz w:val="21"/>
                <w:szCs w:val="21"/>
              </w:rPr>
            </w:pPr>
            <w:r>
              <w:rPr>
                <w:rFonts w:hint="eastAsia"/>
                <w:color w:val="000000"/>
                <w:sz w:val="21"/>
                <w:szCs w:val="21"/>
              </w:rPr>
              <w:t>化粪池及隔油池清掏</w:t>
            </w:r>
          </w:p>
        </w:tc>
        <w:tc>
          <w:tcPr>
            <w:tcW w:w="1360" w:type="dxa"/>
            <w:noWrap w:val="0"/>
            <w:vAlign w:val="center"/>
          </w:tcPr>
          <w:p w14:paraId="74FD76F6">
            <w:pPr>
              <w:keepNext w:val="0"/>
              <w:keepLines w:val="0"/>
              <w:pageBreakBefore w:val="0"/>
              <w:kinsoku/>
              <w:wordWrap/>
              <w:overflowPunct/>
              <w:topLinePunct w:val="0"/>
              <w:autoSpaceDE/>
              <w:autoSpaceDN/>
              <w:bidi w:val="0"/>
              <w:spacing w:before="157" w:beforeLines="50" w:after="157" w:afterLines="50"/>
              <w:jc w:val="center"/>
              <w:textAlignment w:val="auto"/>
              <w:rPr>
                <w:sz w:val="21"/>
                <w:szCs w:val="21"/>
              </w:rPr>
            </w:pPr>
            <w:r>
              <w:rPr>
                <w:rFonts w:hint="eastAsia"/>
                <w:sz w:val="21"/>
                <w:szCs w:val="21"/>
              </w:rPr>
              <w:t>15944</w:t>
            </w:r>
          </w:p>
        </w:tc>
        <w:tc>
          <w:tcPr>
            <w:tcW w:w="2511" w:type="dxa"/>
            <w:noWrap w:val="0"/>
            <w:vAlign w:val="center"/>
          </w:tcPr>
          <w:p w14:paraId="3A45B9AE">
            <w:pPr>
              <w:keepNext w:val="0"/>
              <w:keepLines w:val="0"/>
              <w:pageBreakBefore w:val="0"/>
              <w:kinsoku/>
              <w:wordWrap/>
              <w:overflowPunct/>
              <w:topLinePunct w:val="0"/>
              <w:autoSpaceDE/>
              <w:autoSpaceDN/>
              <w:bidi w:val="0"/>
              <w:spacing w:before="157" w:beforeLines="50" w:after="157" w:afterLines="50"/>
              <w:textAlignment w:val="auto"/>
              <w:rPr>
                <w:sz w:val="21"/>
                <w:szCs w:val="21"/>
              </w:rPr>
            </w:pPr>
            <w:r>
              <w:rPr>
                <w:rFonts w:hint="eastAsia" w:ascii="Calibri" w:hAnsi="Calibri"/>
                <w:sz w:val="21"/>
                <w:szCs w:val="21"/>
              </w:rPr>
              <w:t>无</w:t>
            </w:r>
          </w:p>
        </w:tc>
      </w:tr>
      <w:tr w14:paraId="092B18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92" w:type="dxa"/>
            <w:bottom w:w="0" w:type="dxa"/>
            <w:right w:w="92" w:type="dxa"/>
          </w:tblCellMar>
        </w:tblPrEx>
        <w:trPr>
          <w:trHeight w:val="902" w:hRule="atLeast"/>
        </w:trPr>
        <w:tc>
          <w:tcPr>
            <w:tcW w:w="715" w:type="dxa"/>
            <w:noWrap w:val="0"/>
            <w:vAlign w:val="center"/>
          </w:tcPr>
          <w:p w14:paraId="78D927BE">
            <w:pPr>
              <w:keepNext w:val="0"/>
              <w:keepLines w:val="0"/>
              <w:pageBreakBefore w:val="0"/>
              <w:kinsoku/>
              <w:wordWrap/>
              <w:overflowPunct/>
              <w:topLinePunct w:val="0"/>
              <w:autoSpaceDE/>
              <w:autoSpaceDN/>
              <w:bidi w:val="0"/>
              <w:spacing w:before="157" w:beforeLines="50" w:after="157" w:afterLines="50"/>
              <w:jc w:val="center"/>
              <w:textAlignment w:val="auto"/>
              <w:rPr>
                <w:rFonts w:hint="eastAsia" w:eastAsia="宋体"/>
                <w:color w:val="000000"/>
                <w:sz w:val="21"/>
                <w:szCs w:val="21"/>
                <w:lang w:eastAsia="zh-CN"/>
              </w:rPr>
            </w:pPr>
            <w:r>
              <w:rPr>
                <w:rFonts w:hint="eastAsia"/>
                <w:color w:val="000000"/>
                <w:sz w:val="21"/>
                <w:szCs w:val="21"/>
                <w:lang w:val="en-US" w:eastAsia="zh-CN"/>
              </w:rPr>
              <w:t>8</w:t>
            </w:r>
          </w:p>
        </w:tc>
        <w:tc>
          <w:tcPr>
            <w:tcW w:w="3732" w:type="dxa"/>
            <w:noWrap w:val="0"/>
            <w:vAlign w:val="center"/>
          </w:tcPr>
          <w:p w14:paraId="18326C82">
            <w:pPr>
              <w:keepNext w:val="0"/>
              <w:keepLines w:val="0"/>
              <w:pageBreakBefore w:val="0"/>
              <w:kinsoku/>
              <w:wordWrap/>
              <w:overflowPunct/>
              <w:topLinePunct w:val="0"/>
              <w:autoSpaceDE/>
              <w:autoSpaceDN/>
              <w:bidi w:val="0"/>
              <w:spacing w:before="157" w:beforeLines="50" w:after="157" w:afterLines="50"/>
              <w:textAlignment w:val="auto"/>
              <w:rPr>
                <w:rFonts w:ascii="宋体" w:hAnsi="宋体" w:cs="宋体"/>
                <w:sz w:val="21"/>
                <w:szCs w:val="21"/>
              </w:rPr>
            </w:pPr>
            <w:r>
              <w:rPr>
                <w:rFonts w:hint="eastAsia" w:ascii="宋体" w:hAnsi="宋体" w:cs="宋体"/>
                <w:sz w:val="21"/>
                <w:szCs w:val="21"/>
              </w:rPr>
              <w:t>有害生物防治</w:t>
            </w:r>
          </w:p>
        </w:tc>
        <w:tc>
          <w:tcPr>
            <w:tcW w:w="1360" w:type="dxa"/>
            <w:noWrap w:val="0"/>
            <w:vAlign w:val="center"/>
          </w:tcPr>
          <w:p w14:paraId="5053179B">
            <w:pPr>
              <w:keepNext w:val="0"/>
              <w:keepLines w:val="0"/>
              <w:pageBreakBefore w:val="0"/>
              <w:kinsoku/>
              <w:wordWrap/>
              <w:overflowPunct/>
              <w:topLinePunct w:val="0"/>
              <w:autoSpaceDE/>
              <w:autoSpaceDN/>
              <w:bidi w:val="0"/>
              <w:spacing w:before="157" w:beforeLines="50" w:after="157" w:afterLines="50"/>
              <w:jc w:val="center"/>
              <w:textAlignment w:val="auto"/>
              <w:rPr>
                <w:sz w:val="21"/>
                <w:szCs w:val="21"/>
              </w:rPr>
            </w:pPr>
            <w:r>
              <w:rPr>
                <w:rFonts w:hint="eastAsia"/>
                <w:sz w:val="21"/>
                <w:szCs w:val="21"/>
              </w:rPr>
              <w:t>46982</w:t>
            </w:r>
          </w:p>
        </w:tc>
        <w:tc>
          <w:tcPr>
            <w:tcW w:w="2511" w:type="dxa"/>
            <w:noWrap w:val="0"/>
            <w:vAlign w:val="center"/>
          </w:tcPr>
          <w:p w14:paraId="038B8E03">
            <w:pPr>
              <w:keepNext w:val="0"/>
              <w:keepLines w:val="0"/>
              <w:pageBreakBefore w:val="0"/>
              <w:kinsoku/>
              <w:wordWrap/>
              <w:overflowPunct/>
              <w:topLinePunct w:val="0"/>
              <w:autoSpaceDE/>
              <w:autoSpaceDN/>
              <w:bidi w:val="0"/>
              <w:spacing w:before="0" w:beforeLines="0" w:after="0" w:afterLines="0"/>
              <w:jc w:val="left"/>
              <w:textAlignment w:val="auto"/>
              <w:rPr>
                <w:sz w:val="21"/>
                <w:szCs w:val="21"/>
              </w:rPr>
            </w:pPr>
            <w:r>
              <w:rPr>
                <w:rFonts w:hint="eastAsia" w:ascii="Calibri" w:hAnsi="Calibri"/>
                <w:sz w:val="21"/>
                <w:szCs w:val="21"/>
              </w:rPr>
              <w:t>无</w:t>
            </w:r>
          </w:p>
        </w:tc>
      </w:tr>
      <w:tr w14:paraId="752C0D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92" w:type="dxa"/>
            <w:bottom w:w="0" w:type="dxa"/>
            <w:right w:w="92" w:type="dxa"/>
          </w:tblCellMar>
        </w:tblPrEx>
        <w:trPr>
          <w:trHeight w:val="603" w:hRule="atLeast"/>
        </w:trPr>
        <w:tc>
          <w:tcPr>
            <w:tcW w:w="715" w:type="dxa"/>
            <w:noWrap w:val="0"/>
            <w:vAlign w:val="center"/>
          </w:tcPr>
          <w:p w14:paraId="41084945">
            <w:pPr>
              <w:keepNext w:val="0"/>
              <w:keepLines w:val="0"/>
              <w:pageBreakBefore w:val="0"/>
              <w:kinsoku/>
              <w:wordWrap/>
              <w:overflowPunct/>
              <w:topLinePunct w:val="0"/>
              <w:autoSpaceDE/>
              <w:autoSpaceDN/>
              <w:bidi w:val="0"/>
              <w:spacing w:before="157" w:beforeLines="50" w:after="157" w:afterLines="50"/>
              <w:jc w:val="center"/>
              <w:textAlignment w:val="auto"/>
              <w:rPr>
                <w:rFonts w:hint="eastAsia" w:eastAsia="宋体"/>
                <w:color w:val="000000"/>
                <w:sz w:val="21"/>
                <w:szCs w:val="21"/>
                <w:lang w:eastAsia="zh-CN"/>
              </w:rPr>
            </w:pPr>
            <w:r>
              <w:rPr>
                <w:rFonts w:hint="eastAsia"/>
                <w:color w:val="000000"/>
                <w:sz w:val="21"/>
                <w:szCs w:val="21"/>
                <w:lang w:val="en-US" w:eastAsia="zh-CN"/>
              </w:rPr>
              <w:t>9</w:t>
            </w:r>
          </w:p>
        </w:tc>
        <w:tc>
          <w:tcPr>
            <w:tcW w:w="3732" w:type="dxa"/>
            <w:noWrap w:val="0"/>
            <w:vAlign w:val="center"/>
          </w:tcPr>
          <w:p w14:paraId="11A5EE30">
            <w:pPr>
              <w:keepNext w:val="0"/>
              <w:keepLines w:val="0"/>
              <w:pageBreakBefore w:val="0"/>
              <w:kinsoku/>
              <w:wordWrap/>
              <w:overflowPunct/>
              <w:topLinePunct w:val="0"/>
              <w:autoSpaceDE/>
              <w:autoSpaceDN/>
              <w:bidi w:val="0"/>
              <w:spacing w:before="157" w:beforeLines="50" w:after="157" w:afterLines="50"/>
              <w:textAlignment w:val="auto"/>
              <w:rPr>
                <w:rFonts w:ascii="宋体" w:hAnsi="宋体" w:cs="宋体"/>
                <w:sz w:val="21"/>
                <w:szCs w:val="21"/>
              </w:rPr>
            </w:pPr>
            <w:r>
              <w:rPr>
                <w:rFonts w:hint="eastAsia" w:ascii="宋体" w:hAnsi="宋体" w:cs="宋体"/>
                <w:sz w:val="21"/>
                <w:szCs w:val="21"/>
              </w:rPr>
              <w:t>绿化养护</w:t>
            </w:r>
          </w:p>
        </w:tc>
        <w:tc>
          <w:tcPr>
            <w:tcW w:w="1360" w:type="dxa"/>
            <w:noWrap w:val="0"/>
            <w:vAlign w:val="center"/>
          </w:tcPr>
          <w:p w14:paraId="1212EA50">
            <w:pPr>
              <w:keepNext w:val="0"/>
              <w:keepLines w:val="0"/>
              <w:pageBreakBefore w:val="0"/>
              <w:kinsoku/>
              <w:wordWrap/>
              <w:overflowPunct/>
              <w:topLinePunct w:val="0"/>
              <w:autoSpaceDE/>
              <w:autoSpaceDN/>
              <w:bidi w:val="0"/>
              <w:spacing w:before="157" w:beforeLines="50" w:after="157" w:afterLines="50"/>
              <w:jc w:val="center"/>
              <w:textAlignment w:val="auto"/>
              <w:rPr>
                <w:sz w:val="21"/>
                <w:szCs w:val="21"/>
              </w:rPr>
            </w:pPr>
            <w:r>
              <w:rPr>
                <w:rFonts w:hint="eastAsia"/>
                <w:sz w:val="21"/>
                <w:szCs w:val="21"/>
              </w:rPr>
              <w:t>173889</w:t>
            </w:r>
          </w:p>
        </w:tc>
        <w:tc>
          <w:tcPr>
            <w:tcW w:w="2511" w:type="dxa"/>
            <w:noWrap w:val="0"/>
            <w:vAlign w:val="center"/>
          </w:tcPr>
          <w:p w14:paraId="4DCE128B">
            <w:pPr>
              <w:keepNext w:val="0"/>
              <w:keepLines w:val="0"/>
              <w:pageBreakBefore w:val="0"/>
              <w:kinsoku/>
              <w:wordWrap/>
              <w:overflowPunct/>
              <w:topLinePunct w:val="0"/>
              <w:autoSpaceDE/>
              <w:autoSpaceDN/>
              <w:bidi w:val="0"/>
              <w:spacing w:before="157" w:beforeLines="50" w:after="157" w:afterLines="50"/>
              <w:textAlignment w:val="auto"/>
              <w:rPr>
                <w:sz w:val="21"/>
                <w:szCs w:val="21"/>
              </w:rPr>
            </w:pPr>
            <w:r>
              <w:rPr>
                <w:rFonts w:hint="eastAsia"/>
                <w:sz w:val="21"/>
                <w:szCs w:val="21"/>
              </w:rPr>
              <w:t>无</w:t>
            </w:r>
          </w:p>
        </w:tc>
      </w:tr>
    </w:tbl>
    <w:p w14:paraId="2CB7872E">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sz w:val="21"/>
          <w:szCs w:val="21"/>
        </w:rPr>
      </w:pPr>
    </w:p>
    <w:p w14:paraId="77B164F7">
      <w:pPr>
        <w:keepNext w:val="0"/>
        <w:keepLines w:val="0"/>
        <w:pageBreakBefore w:val="0"/>
        <w:widowControl w:val="0"/>
        <w:numPr>
          <w:ilvl w:val="0"/>
          <w:numId w:val="0"/>
        </w:numPr>
        <w:kinsoku/>
        <w:wordWrap/>
        <w:overflowPunct/>
        <w:topLinePunct w:val="0"/>
        <w:autoSpaceDE/>
        <w:autoSpaceDN/>
        <w:bidi w:val="0"/>
        <w:spacing w:line="360" w:lineRule="auto"/>
        <w:jc w:val="left"/>
        <w:rPr>
          <w:rFonts w:hint="eastAsia" w:ascii="宋体" w:hAnsi="宋体" w:cs="宋体"/>
          <w:b/>
          <w:sz w:val="28"/>
          <w:szCs w:val="28"/>
          <w:lang w:val="en-US" w:eastAsia="zh-CN"/>
        </w:rPr>
      </w:pPr>
    </w:p>
    <w:p w14:paraId="18FF8369">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sz w:val="28"/>
          <w:szCs w:val="28"/>
        </w:rPr>
      </w:pPr>
      <w:r>
        <w:rPr>
          <w:rFonts w:hint="eastAsia" w:ascii="宋体" w:hAnsi="宋体" w:cs="宋体"/>
          <w:b/>
          <w:sz w:val="28"/>
          <w:szCs w:val="28"/>
          <w:lang w:eastAsia="zh-CN"/>
        </w:rPr>
        <w:t>四</w:t>
      </w:r>
      <w:r>
        <w:rPr>
          <w:rFonts w:hint="eastAsia" w:ascii="宋体" w:hAnsi="宋体" w:cs="宋体"/>
          <w:b/>
          <w:sz w:val="28"/>
          <w:szCs w:val="28"/>
        </w:rPr>
        <w:t>、验收标准</w:t>
      </w:r>
    </w:p>
    <w:p w14:paraId="2041BC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sz w:val="21"/>
          <w:szCs w:val="21"/>
        </w:rPr>
      </w:pPr>
      <w:r>
        <w:rPr>
          <w:rFonts w:hint="eastAsia" w:ascii="宋体" w:hAnsi="宋体" w:cs="宋体"/>
          <w:sz w:val="21"/>
          <w:szCs w:val="21"/>
        </w:rPr>
        <w:t>按照行业标准和合同，由采购人相关部门分别对物业具体服务项目进行日常检查和考核，定期进行职工的满意度调查。</w:t>
      </w:r>
    </w:p>
    <w:p w14:paraId="0D18204F">
      <w:pPr>
        <w:keepNext w:val="0"/>
        <w:keepLines w:val="0"/>
        <w:pageBreakBefore w:val="0"/>
        <w:widowControl w:val="0"/>
        <w:numPr>
          <w:ilvl w:val="0"/>
          <w:numId w:val="0"/>
        </w:numPr>
        <w:kinsoku/>
        <w:wordWrap/>
        <w:overflowPunct/>
        <w:topLinePunct w:val="0"/>
        <w:autoSpaceDE/>
        <w:autoSpaceDN/>
        <w:bidi w:val="0"/>
        <w:spacing w:line="360" w:lineRule="auto"/>
        <w:ind w:left="426" w:leftChars="0"/>
        <w:jc w:val="left"/>
        <w:rPr>
          <w:rFonts w:hint="eastAsia" w:ascii="宋体" w:hAnsi="宋体" w:cs="宋体"/>
          <w:sz w:val="21"/>
          <w:szCs w:val="21"/>
        </w:rPr>
      </w:pPr>
    </w:p>
    <w:p w14:paraId="3AD616AE">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sz w:val="28"/>
          <w:szCs w:val="28"/>
        </w:rPr>
      </w:pPr>
      <w:r>
        <w:rPr>
          <w:rFonts w:hint="eastAsia" w:ascii="宋体" w:hAnsi="宋体" w:cs="宋体"/>
          <w:b/>
          <w:sz w:val="28"/>
          <w:szCs w:val="28"/>
          <w:lang w:eastAsia="zh-CN"/>
        </w:rPr>
        <w:t>五</w:t>
      </w:r>
      <w:r>
        <w:rPr>
          <w:rFonts w:hint="eastAsia" w:ascii="宋体" w:hAnsi="宋体" w:cs="宋体"/>
          <w:b/>
          <w:sz w:val="28"/>
          <w:szCs w:val="28"/>
        </w:rPr>
        <w:t>、</w:t>
      </w:r>
      <w:r>
        <w:rPr>
          <w:rFonts w:hint="eastAsia" w:ascii="宋体" w:hAnsi="宋体" w:eastAsia="宋体" w:cs="宋体"/>
          <w:b/>
          <w:sz w:val="28"/>
          <w:szCs w:val="28"/>
        </w:rPr>
        <w:t>其他要求</w:t>
      </w:r>
    </w:p>
    <w:p w14:paraId="719035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投标人中标后，应根据实际情况与原为采购人提供本合同约定的相关服务的服务方进行工作交接，通过协商妥善解决交接过程中可能涉及相关问题。投标人须在投标文件中做出相应承诺。</w:t>
      </w:r>
    </w:p>
    <w:p w14:paraId="25ADBE9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sz w:val="21"/>
          <w:szCs w:val="21"/>
        </w:rPr>
      </w:pPr>
    </w:p>
    <w:p w14:paraId="471F9F01">
      <w:pPr>
        <w:spacing w:line="360" w:lineRule="auto"/>
        <w:ind w:firstLine="480" w:firstLineChars="200"/>
        <w:rPr>
          <w:rFonts w:ascii="宋体" w:hAnsi="宋体"/>
          <w:sz w:val="24"/>
        </w:rPr>
      </w:pPr>
      <w:r>
        <w:rPr>
          <w:rFonts w:hint="eastAsia" w:ascii="宋体" w:hAnsi="宋体"/>
          <w:sz w:val="24"/>
        </w:rPr>
        <w:t>政策性采购需求</w:t>
      </w:r>
    </w:p>
    <w:p w14:paraId="310D8DF5">
      <w:pPr>
        <w:spacing w:line="360" w:lineRule="auto"/>
        <w:ind w:firstLine="480" w:firstLineChars="200"/>
      </w:pPr>
      <w:r>
        <w:rPr>
          <w:rFonts w:hint="eastAsia" w:ascii="宋体" w:hAnsi="宋体"/>
          <w:sz w:val="24"/>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6CB80878"/>
    <w:p w14:paraId="291953CC">
      <w:pPr>
        <w:ind w:firstLine="640"/>
        <w:rPr>
          <w:rFonts w:hint="eastAsia" w:ascii="仿宋_GB2312" w:hAnsi="仿宋_GB2312" w:cs="仿宋_GB2312"/>
          <w:kern w:val="0"/>
          <w:szCs w:val="32"/>
          <w:lang w:bidi="ar"/>
        </w:rPr>
      </w:pPr>
    </w:p>
    <w:p w14:paraId="6460FA35">
      <w:pPr>
        <w:ind w:firstLine="640"/>
        <w:rPr>
          <w:rFonts w:ascii="仿宋_GB2312" w:hAnsi="仿宋_GB2312" w:cs="仿宋_GB2312"/>
          <w:kern w:val="0"/>
          <w:szCs w:val="32"/>
          <w:lang w:bidi="ar"/>
        </w:rPr>
      </w:pPr>
      <w:r>
        <w:rPr>
          <w:rFonts w:hint="eastAsia" w:ascii="仿宋_GB2312" w:hAnsi="仿宋_GB2312" w:cs="仿宋_GB2312"/>
          <w:kern w:val="0"/>
          <w:szCs w:val="32"/>
          <w:lang w:bidi="ar"/>
        </w:rPr>
        <w:t>为深入贯彻落实中共中央办公厅、国务院办公厅《关于健全社会信用体系的意见》，进一步推动</w:t>
      </w:r>
      <w:r>
        <w:rPr>
          <w:rFonts w:hint="eastAsia" w:ascii="仿宋_GB2312" w:hAnsi="仿宋_GB2312" w:cs="仿宋_GB2312"/>
          <w:color w:val="232930"/>
          <w:szCs w:val="32"/>
          <w:shd w:val="clear" w:color="auto" w:fill="FFFFFF"/>
          <w:lang w:bidi="ar"/>
        </w:rPr>
        <w:t>《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w:t>
      </w:r>
      <w:r>
        <w:rPr>
          <w:rFonts w:hint="eastAsia" w:ascii="仿宋_GB2312" w:hAnsi="仿宋_GB2312" w:cs="仿宋_GB2312"/>
          <w:kern w:val="0"/>
          <w:szCs w:val="32"/>
          <w:lang w:bidi="ar"/>
        </w:rPr>
        <w:t>《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14:paraId="74A7A212">
      <w:pPr>
        <w:ind w:firstLine="275" w:firstLineChars="131"/>
        <w:rPr>
          <w:rFonts w:ascii="仿宋_GB2312" w:hAnsi="仿宋_GB2312" w:cs="仿宋_GB2312"/>
          <w:kern w:val="0"/>
          <w:szCs w:val="32"/>
          <w:lang w:bidi="ar"/>
        </w:rPr>
      </w:pPr>
      <w:r>
        <w:rPr>
          <w:rFonts w:hint="eastAsia" w:ascii="仿宋_GB2312" w:hAnsi="仿宋_GB2312" w:cs="仿宋_GB2312"/>
          <w:kern w:val="0"/>
          <w:szCs w:val="32"/>
          <w:lang w:bidi="ar"/>
        </w:rPr>
        <w:t>1.在招标（交易发起）文件规定的投标（交易响应）截止日起的投标（交易响应）有效期内撤销其投标（交易响应）的；</w:t>
      </w:r>
    </w:p>
    <w:p w14:paraId="28CDEC26">
      <w:pPr>
        <w:ind w:firstLine="275" w:firstLineChars="131"/>
        <w:rPr>
          <w:rFonts w:ascii="仿宋_GB2312" w:hAnsi="仿宋_GB2312" w:cs="仿宋_GB2312"/>
          <w:kern w:val="0"/>
          <w:szCs w:val="32"/>
          <w:lang w:bidi="ar"/>
        </w:rPr>
      </w:pPr>
      <w:r>
        <w:rPr>
          <w:rFonts w:hint="eastAsia" w:ascii="仿宋_GB2312" w:hAnsi="仿宋_GB2312" w:cs="仿宋_GB2312"/>
          <w:kern w:val="0"/>
          <w:szCs w:val="32"/>
          <w:lang w:bidi="ar"/>
        </w:rPr>
        <w:t>2.因供应商自身原因或其他客观情况造成合同履约超期，或经过采购人催告后仍故意或拒绝履行合同义务的；</w:t>
      </w:r>
    </w:p>
    <w:p w14:paraId="2294B452">
      <w:pPr>
        <w:ind w:firstLine="275" w:firstLineChars="131"/>
        <w:rPr>
          <w:rFonts w:ascii="仿宋_GB2312" w:hAnsi="仿宋_GB2312" w:cs="仿宋_GB2312"/>
          <w:kern w:val="0"/>
          <w:szCs w:val="32"/>
          <w:lang w:bidi="ar"/>
        </w:rPr>
      </w:pPr>
      <w:r>
        <w:rPr>
          <w:rFonts w:hint="eastAsia" w:ascii="仿宋_GB2312" w:hAnsi="仿宋_GB2312" w:cs="仿宋_GB2312"/>
          <w:kern w:val="0"/>
          <w:szCs w:val="32"/>
          <w:lang w:bidi="ar"/>
        </w:rPr>
        <w:t>3.因供应商其自身严重或持续的履约缺陷，导致合同被提前终止、索赔或其他类似制裁的；</w:t>
      </w:r>
    </w:p>
    <w:p w14:paraId="32D38FB4">
      <w:pPr>
        <w:ind w:firstLine="275" w:firstLineChars="131"/>
        <w:rPr>
          <w:rFonts w:ascii="仿宋_GB2312" w:hAnsi="仿宋_GB2312" w:cs="仿宋_GB2312"/>
          <w:kern w:val="0"/>
          <w:szCs w:val="32"/>
          <w:lang w:bidi="ar"/>
        </w:rPr>
      </w:pPr>
      <w:r>
        <w:rPr>
          <w:rFonts w:hint="eastAsia" w:ascii="仿宋_GB2312" w:hAnsi="仿宋_GB2312" w:cs="仿宋_GB2312"/>
          <w:kern w:val="0"/>
          <w:szCs w:val="32"/>
          <w:lang w:bidi="ar"/>
        </w:rPr>
        <w:t>4.存在拖欠工资的；</w:t>
      </w:r>
    </w:p>
    <w:p w14:paraId="49B14CF2">
      <w:pPr>
        <w:ind w:firstLine="275" w:firstLineChars="131"/>
        <w:rPr>
          <w:rFonts w:ascii="仿宋_GB2312" w:hAnsi="仿宋_GB2312" w:cs="仿宋_GB2312"/>
          <w:kern w:val="0"/>
          <w:szCs w:val="32"/>
          <w:lang w:bidi="ar"/>
        </w:rPr>
      </w:pPr>
      <w:r>
        <w:rPr>
          <w:rFonts w:hint="eastAsia" w:ascii="仿宋_GB2312" w:hAnsi="仿宋_GB2312" w:cs="仿宋_GB2312"/>
          <w:kern w:val="0"/>
          <w:szCs w:val="32"/>
          <w:lang w:bidi="ar"/>
        </w:rPr>
        <w:t>5.存在《京津冀政府采购负面行为清单》（冀财采〔2024〕18号）规定的供应商负面行为的：</w:t>
      </w:r>
    </w:p>
    <w:p w14:paraId="464FA9D1">
      <w:pPr>
        <w:ind w:firstLine="275" w:firstLineChars="131"/>
        <w:rPr>
          <w:rFonts w:ascii="仿宋_GB2312" w:hAnsi="仿宋_GB2312" w:cs="仿宋_GB2312"/>
          <w:kern w:val="0"/>
          <w:szCs w:val="32"/>
          <w:lang w:bidi="ar"/>
        </w:rPr>
      </w:pPr>
      <w:r>
        <w:rPr>
          <w:rFonts w:hint="eastAsia" w:ascii="仿宋_GB2312" w:hAnsi="仿宋_GB2312" w:cs="仿宋_GB2312"/>
          <w:kern w:val="0"/>
          <w:szCs w:val="32"/>
          <w:lang w:bidi="ar"/>
        </w:rPr>
        <w:t>（1）具有关联或存在利益冲突的供应商违规参加同一政府采购项目；</w:t>
      </w:r>
    </w:p>
    <w:p w14:paraId="45CC80FE">
      <w:pPr>
        <w:ind w:firstLine="275" w:firstLineChars="131"/>
        <w:rPr>
          <w:rFonts w:ascii="仿宋_GB2312" w:hAnsi="仿宋_GB2312" w:cs="仿宋_GB2312"/>
          <w:kern w:val="0"/>
          <w:szCs w:val="32"/>
          <w:lang w:bidi="ar"/>
        </w:rPr>
      </w:pPr>
      <w:r>
        <w:rPr>
          <w:rFonts w:hint="eastAsia" w:ascii="仿宋_GB2312" w:hAnsi="仿宋_GB2312" w:cs="仿宋_GB2312"/>
          <w:kern w:val="0"/>
          <w:szCs w:val="32"/>
          <w:lang w:bidi="ar"/>
        </w:rPr>
        <w:t>（2）供应商不公平竞争；</w:t>
      </w:r>
    </w:p>
    <w:p w14:paraId="423FD1BB">
      <w:pPr>
        <w:ind w:firstLine="275" w:firstLineChars="131"/>
        <w:rPr>
          <w:rFonts w:ascii="仿宋_GB2312" w:hAnsi="仿宋_GB2312" w:cs="仿宋_GB2312"/>
          <w:kern w:val="0"/>
          <w:szCs w:val="32"/>
          <w:lang w:bidi="ar"/>
        </w:rPr>
      </w:pPr>
      <w:r>
        <w:rPr>
          <w:rFonts w:hint="eastAsia" w:ascii="仿宋_GB2312" w:hAnsi="仿宋_GB2312" w:cs="仿宋_GB2312"/>
          <w:kern w:val="0"/>
          <w:szCs w:val="32"/>
          <w:lang w:bidi="ar"/>
        </w:rPr>
        <w:t>（3）供应商恶意串通；</w:t>
      </w:r>
    </w:p>
    <w:p w14:paraId="14BF6853">
      <w:pPr>
        <w:ind w:firstLine="275" w:firstLineChars="131"/>
        <w:rPr>
          <w:rFonts w:ascii="仿宋_GB2312" w:hAnsi="仿宋_GB2312" w:cs="仿宋_GB2312"/>
          <w:kern w:val="0"/>
          <w:szCs w:val="32"/>
          <w:lang w:bidi="ar"/>
        </w:rPr>
      </w:pPr>
      <w:r>
        <w:rPr>
          <w:rFonts w:hint="eastAsia" w:ascii="仿宋_GB2312" w:hAnsi="仿宋_GB2312" w:cs="仿宋_GB2312"/>
          <w:kern w:val="0"/>
          <w:szCs w:val="32"/>
          <w:lang w:bidi="ar"/>
        </w:rPr>
        <w:t>（4）其他串通行为；</w:t>
      </w:r>
    </w:p>
    <w:p w14:paraId="00F72D52">
      <w:pPr>
        <w:ind w:firstLine="275" w:firstLineChars="131"/>
        <w:rPr>
          <w:rFonts w:ascii="仿宋_GB2312" w:hAnsi="仿宋_GB2312" w:cs="仿宋_GB2312"/>
          <w:kern w:val="0"/>
          <w:szCs w:val="32"/>
          <w:lang w:bidi="ar"/>
        </w:rPr>
      </w:pPr>
      <w:r>
        <w:rPr>
          <w:rFonts w:hint="eastAsia" w:ascii="仿宋_GB2312" w:hAnsi="仿宋_GB2312" w:cs="仿宋_GB2312"/>
          <w:kern w:val="0"/>
          <w:szCs w:val="32"/>
          <w:lang w:bidi="ar"/>
        </w:rPr>
        <w:t>（5）未按规定签订合同；</w:t>
      </w:r>
    </w:p>
    <w:p w14:paraId="4C0E1210">
      <w:pPr>
        <w:ind w:firstLine="275" w:firstLineChars="131"/>
        <w:rPr>
          <w:rFonts w:ascii="仿宋_GB2312" w:hAnsi="仿宋_GB2312" w:cs="仿宋_GB2312"/>
          <w:kern w:val="0"/>
          <w:szCs w:val="32"/>
          <w:lang w:bidi="ar"/>
        </w:rPr>
      </w:pPr>
      <w:r>
        <w:rPr>
          <w:rFonts w:hint="eastAsia" w:ascii="仿宋_GB2312" w:hAnsi="仿宋_GB2312" w:cs="仿宋_GB2312"/>
          <w:kern w:val="0"/>
          <w:szCs w:val="32"/>
          <w:lang w:bidi="ar"/>
        </w:rPr>
        <w:t>（6）未按规定履行合同；</w:t>
      </w:r>
    </w:p>
    <w:p w14:paraId="38A19B04">
      <w:pPr>
        <w:ind w:firstLine="275" w:firstLineChars="131"/>
        <w:rPr>
          <w:rFonts w:ascii="仿宋_GB2312" w:hAnsi="仿宋_GB2312" w:cs="仿宋_GB2312"/>
          <w:kern w:val="0"/>
          <w:szCs w:val="32"/>
          <w:lang w:bidi="ar"/>
        </w:rPr>
      </w:pPr>
      <w:r>
        <w:rPr>
          <w:rFonts w:hint="eastAsia" w:ascii="仿宋_GB2312" w:hAnsi="仿宋_GB2312" w:cs="仿宋_GB2312"/>
          <w:kern w:val="0"/>
          <w:szCs w:val="32"/>
          <w:lang w:bidi="ar"/>
        </w:rPr>
        <w:t>（7）在监督检查和投诉处理中提供虚假材料。</w:t>
      </w:r>
    </w:p>
    <w:p w14:paraId="7B8F0A11">
      <w:pPr>
        <w:pStyle w:val="2"/>
      </w:pPr>
    </w:p>
    <w:p w14:paraId="651BB498"/>
    <w:p w14:paraId="3E523667">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16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正文1"/>
    <w:basedOn w:val="1"/>
    <w:next w:val="1"/>
    <w:qFormat/>
    <w:uiPriority w:val="0"/>
    <w:pPr>
      <w:spacing w:line="240" w:lineRule="auto"/>
      <w:ind w:firstLine="200" w:firstLineChars="200"/>
      <w:textAlignment w:val="auto"/>
    </w:pPr>
    <w:rPr>
      <w:rFonts w:ascii="Times New Roman" w:hAnsi="Times New Roman" w:cs="仿宋_GB2312"/>
      <w:sz w:val="28"/>
      <w:szCs w:val="24"/>
    </w:rPr>
  </w:style>
  <w:style w:type="character" w:customStyle="1" w:styleId="6">
    <w:name w:val="23"/>
    <w:qFormat/>
    <w:uiPriority w:val="0"/>
    <w:rPr>
      <w:rFonts w:hint="eastAsia" w:ascii="MingLiU" w:hAnsi="MingLiU" w:eastAsia="MingLiU"/>
      <w:spacing w:val="2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2026-03-19T02:06:23Z</dcterms:created>
  <dc:creator>luozhao</dc:creator>
  <cp:lastModifiedBy>LZ</cp:lastModifiedBy>
  <dcterms:modified xsi:type="dcterms:W3CDTF">2026-03-19T02:07:18Z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FB383485B2474337A9FCFA2B81061657_12</vt:lpwstr>
  </property>
</Properties>
</file>